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BF8" w:rsidRPr="0031501B" w:rsidRDefault="00393FAA" w:rsidP="00393FAA">
      <w:pPr>
        <w:spacing w:line="360" w:lineRule="auto"/>
        <w:jc w:val="right"/>
        <w:rPr>
          <w:rFonts w:cstheme="minorHAnsi"/>
          <w:sz w:val="24"/>
          <w:szCs w:val="24"/>
        </w:rPr>
      </w:pPr>
      <w:r>
        <w:rPr>
          <w:rFonts w:cstheme="minorHAnsi"/>
          <w:sz w:val="24"/>
          <w:szCs w:val="24"/>
        </w:rPr>
        <w:t>C</w:t>
      </w:r>
      <w:r w:rsidRPr="00393FAA">
        <w:rPr>
          <w:rFonts w:cstheme="minorHAnsi"/>
          <w:sz w:val="24"/>
          <w:szCs w:val="24"/>
        </w:rPr>
        <w:t>hecklist</w:t>
      </w:r>
      <w:r w:rsidR="0031501B">
        <w:rPr>
          <w:rFonts w:cstheme="minorHAnsi"/>
          <w:sz w:val="24"/>
          <w:szCs w:val="24"/>
        </w:rPr>
        <w:t xml:space="preserve"> </w:t>
      </w:r>
      <w:r w:rsidR="00F867BB">
        <w:rPr>
          <w:rFonts w:cstheme="minorHAnsi"/>
          <w:sz w:val="24"/>
          <w:szCs w:val="24"/>
        </w:rPr>
        <w:t>F</w:t>
      </w:r>
      <w:r w:rsidRPr="0031501B">
        <w:rPr>
          <w:rFonts w:cstheme="minorHAnsi"/>
          <w:sz w:val="24"/>
          <w:szCs w:val="24"/>
        </w:rPr>
        <w:t>78-2012-05</w:t>
      </w:r>
    </w:p>
    <w:p w:rsidR="00A8095E" w:rsidRPr="0031501B" w:rsidRDefault="00A8095E" w:rsidP="00A25BF8">
      <w:pPr>
        <w:spacing w:line="360" w:lineRule="auto"/>
        <w:jc w:val="center"/>
        <w:rPr>
          <w:rFonts w:cstheme="minorHAnsi"/>
          <w:sz w:val="24"/>
          <w:szCs w:val="24"/>
        </w:rPr>
      </w:pPr>
    </w:p>
    <w:p w:rsidR="00A8095E" w:rsidRPr="0031501B" w:rsidRDefault="00A8095E" w:rsidP="00A25BF8">
      <w:pPr>
        <w:spacing w:line="360" w:lineRule="auto"/>
        <w:jc w:val="center"/>
        <w:rPr>
          <w:rFonts w:cstheme="minorHAnsi"/>
          <w:sz w:val="24"/>
          <w:szCs w:val="24"/>
        </w:rPr>
      </w:pPr>
    </w:p>
    <w:p w:rsidR="00D226D6" w:rsidRDefault="00D226D6" w:rsidP="00A25BF8">
      <w:pPr>
        <w:spacing w:line="360" w:lineRule="auto"/>
        <w:jc w:val="center"/>
        <w:rPr>
          <w:rFonts w:eastAsia="Calibri" w:cstheme="minorHAnsi"/>
          <w:b/>
          <w:bCs/>
          <w:sz w:val="28"/>
          <w:szCs w:val="28"/>
          <w:lang w:val="en-GB"/>
        </w:rPr>
      </w:pPr>
      <w:r>
        <w:rPr>
          <w:rFonts w:eastAsia="Calibri" w:cstheme="minorHAnsi"/>
          <w:b/>
          <w:bCs/>
          <w:sz w:val="28"/>
          <w:szCs w:val="28"/>
          <w:lang w:val="en-GB"/>
        </w:rPr>
        <w:t>CHECKLIST FOR THE KEY INVESTOR INFORMATION DOCUMENT</w:t>
      </w:r>
    </w:p>
    <w:p w:rsidR="005756CE" w:rsidRPr="00D226D6" w:rsidRDefault="005756CE" w:rsidP="00A25BF8">
      <w:pPr>
        <w:spacing w:line="360" w:lineRule="auto"/>
        <w:jc w:val="center"/>
        <w:rPr>
          <w:rFonts w:eastAsia="Calibri" w:cstheme="minorHAnsi"/>
          <w:b/>
          <w:bCs/>
          <w:sz w:val="28"/>
          <w:szCs w:val="28"/>
          <w:lang w:val="en-GB"/>
        </w:rPr>
      </w:pPr>
    </w:p>
    <w:p w:rsidR="00A25BF8" w:rsidRPr="00D226D6" w:rsidRDefault="00D226D6" w:rsidP="003938AE">
      <w:pPr>
        <w:pStyle w:val="Heading2"/>
        <w:rPr>
          <w:rFonts w:asciiTheme="minorHAnsi" w:eastAsia="Times New Roman" w:hAnsiTheme="minorHAnsi" w:cstheme="minorHAnsi"/>
          <w:color w:val="000000" w:themeColor="text1"/>
          <w:sz w:val="28"/>
          <w:szCs w:val="28"/>
          <w:lang w:val="en-GB"/>
        </w:rPr>
      </w:pPr>
      <w:r>
        <w:rPr>
          <w:rFonts w:asciiTheme="minorHAnsi" w:eastAsia="Times New Roman" w:hAnsiTheme="minorHAnsi" w:cstheme="minorHAnsi"/>
          <w:color w:val="000000" w:themeColor="text1"/>
          <w:sz w:val="28"/>
          <w:szCs w:val="28"/>
          <w:lang w:val="en-GB"/>
        </w:rPr>
        <w:t xml:space="preserve">                                   </w:t>
      </w:r>
      <w:r w:rsidR="00A25BF8" w:rsidRPr="00D226D6">
        <w:rPr>
          <w:rFonts w:asciiTheme="minorHAnsi" w:eastAsia="Times New Roman" w:hAnsiTheme="minorHAnsi" w:cstheme="minorHAnsi"/>
          <w:color w:val="000000" w:themeColor="text1"/>
          <w:sz w:val="28"/>
          <w:szCs w:val="28"/>
          <w:lang w:val="en-GB"/>
        </w:rPr>
        <w:t xml:space="preserve">   «……………………………………………………»</w:t>
      </w:r>
    </w:p>
    <w:p w:rsidR="002A3BDA" w:rsidRPr="00D226D6" w:rsidRDefault="00D226D6" w:rsidP="00C20708">
      <w:pPr>
        <w:spacing w:line="360" w:lineRule="auto"/>
        <w:jc w:val="center"/>
        <w:rPr>
          <w:rFonts w:eastAsia="Calibri" w:cstheme="minorHAnsi"/>
          <w:b/>
          <w:bCs/>
          <w:sz w:val="28"/>
          <w:szCs w:val="28"/>
        </w:rPr>
      </w:pPr>
      <w:r>
        <w:rPr>
          <w:rFonts w:eastAsia="Calibri" w:cstheme="minorHAnsi"/>
          <w:b/>
          <w:bCs/>
          <w:sz w:val="28"/>
          <w:szCs w:val="28"/>
        </w:rPr>
        <w:t>FOR THE GRANTING AUTHORISATION OF A UCITS</w:t>
      </w:r>
    </w:p>
    <w:p w:rsidR="00D226D6" w:rsidRPr="00C20708" w:rsidRDefault="00D226D6" w:rsidP="00021C80">
      <w:pPr>
        <w:autoSpaceDE w:val="0"/>
        <w:autoSpaceDN w:val="0"/>
        <w:adjustRightInd w:val="0"/>
        <w:spacing w:after="0" w:line="240" w:lineRule="auto"/>
        <w:jc w:val="both"/>
        <w:rPr>
          <w:rFonts w:ascii="Arial" w:eastAsia="Calibri" w:hAnsi="Arial" w:cs="Arial"/>
          <w:b/>
          <w:bCs/>
          <w:sz w:val="20"/>
          <w:szCs w:val="20"/>
          <w:lang w:val="en-GB"/>
        </w:rPr>
      </w:pPr>
    </w:p>
    <w:p w:rsidR="00021C80" w:rsidRPr="00C20708" w:rsidRDefault="00C20708" w:rsidP="00021C80">
      <w:pPr>
        <w:autoSpaceDE w:val="0"/>
        <w:autoSpaceDN w:val="0"/>
        <w:adjustRightInd w:val="0"/>
        <w:spacing w:after="0" w:line="240" w:lineRule="auto"/>
        <w:jc w:val="both"/>
        <w:rPr>
          <w:rFonts w:ascii="Arial" w:hAnsi="Arial" w:cs="Arial"/>
          <w:sz w:val="20"/>
          <w:szCs w:val="20"/>
          <w:u w:val="single"/>
          <w:lang w:val="el-GR"/>
        </w:rPr>
      </w:pPr>
      <w:r>
        <w:rPr>
          <w:rFonts w:ascii="Arial" w:hAnsi="Arial" w:cs="Arial"/>
          <w:sz w:val="20"/>
          <w:szCs w:val="20"/>
          <w:u w:val="single"/>
        </w:rPr>
        <w:t>Notes</w:t>
      </w:r>
      <w:r w:rsidR="00021C80" w:rsidRPr="00C20708">
        <w:rPr>
          <w:rFonts w:ascii="Arial" w:hAnsi="Arial" w:cs="Arial"/>
          <w:sz w:val="20"/>
          <w:szCs w:val="20"/>
          <w:u w:val="single"/>
          <w:lang w:val="el-GR"/>
        </w:rPr>
        <w:t>:</w:t>
      </w:r>
    </w:p>
    <w:p w:rsidR="005756CE" w:rsidRPr="00C20708" w:rsidRDefault="005756CE" w:rsidP="005756CE">
      <w:pPr>
        <w:autoSpaceDE w:val="0"/>
        <w:autoSpaceDN w:val="0"/>
        <w:adjustRightInd w:val="0"/>
        <w:spacing w:after="0" w:line="240" w:lineRule="auto"/>
        <w:jc w:val="both"/>
        <w:rPr>
          <w:rFonts w:ascii="Arial" w:hAnsi="Arial" w:cs="Arial"/>
          <w:sz w:val="20"/>
          <w:szCs w:val="20"/>
          <w:lang w:val="el-GR"/>
        </w:rPr>
      </w:pPr>
    </w:p>
    <w:p w:rsidR="00C20708" w:rsidRPr="00C20708" w:rsidRDefault="00C20708" w:rsidP="00C20708">
      <w:pPr>
        <w:pStyle w:val="ListParagraph"/>
        <w:numPr>
          <w:ilvl w:val="0"/>
          <w:numId w:val="15"/>
        </w:numPr>
        <w:autoSpaceDE w:val="0"/>
        <w:autoSpaceDN w:val="0"/>
        <w:adjustRightInd w:val="0"/>
        <w:spacing w:after="0" w:line="240" w:lineRule="auto"/>
        <w:jc w:val="both"/>
        <w:rPr>
          <w:rFonts w:ascii="Arial" w:hAnsi="Arial" w:cs="Arial"/>
          <w:sz w:val="20"/>
          <w:szCs w:val="20"/>
        </w:rPr>
      </w:pPr>
      <w:r w:rsidRPr="00C20708">
        <w:rPr>
          <w:rFonts w:ascii="Arial" w:hAnsi="Arial" w:cs="Arial"/>
          <w:sz w:val="20"/>
          <w:szCs w:val="20"/>
        </w:rPr>
        <w:t xml:space="preserve">For the preparation of the Key Investor Information Document, the Law 78(I)/2012 shall be taken into consideration the issued Directives and the Commission Regulation (EU) No. </w:t>
      </w:r>
      <w:r w:rsidRPr="00C20708">
        <w:rPr>
          <w:rFonts w:ascii="Arial" w:hAnsi="Arial" w:cs="Arial"/>
          <w:bCs/>
          <w:color w:val="000000"/>
          <w:sz w:val="20"/>
          <w:szCs w:val="20"/>
        </w:rPr>
        <w:t xml:space="preserve">583/2010 of 1 July 2010 for the implementation of the Directive </w:t>
      </w:r>
      <w:r w:rsidRPr="00C20708">
        <w:rPr>
          <w:rFonts w:ascii="Arial" w:hAnsi="Arial" w:cs="Arial"/>
          <w:sz w:val="20"/>
          <w:szCs w:val="20"/>
        </w:rPr>
        <w:t>2009/65/EC.</w:t>
      </w:r>
    </w:p>
    <w:p w:rsidR="00C20708" w:rsidRPr="00C20708" w:rsidRDefault="00C20708" w:rsidP="00C20708">
      <w:pPr>
        <w:pStyle w:val="ListParagraph"/>
        <w:numPr>
          <w:ilvl w:val="0"/>
          <w:numId w:val="15"/>
        </w:numPr>
        <w:autoSpaceDE w:val="0"/>
        <w:autoSpaceDN w:val="0"/>
        <w:adjustRightInd w:val="0"/>
        <w:spacing w:after="0" w:line="240" w:lineRule="auto"/>
        <w:jc w:val="both"/>
        <w:rPr>
          <w:rFonts w:ascii="Arial" w:hAnsi="Arial" w:cs="Arial"/>
          <w:sz w:val="20"/>
          <w:szCs w:val="20"/>
        </w:rPr>
      </w:pPr>
      <w:r>
        <w:t xml:space="preserve">The European Securities and Markets Authority prepared a sample about how </w:t>
      </w:r>
      <w:r w:rsidR="0064619D" w:rsidRPr="00C20708">
        <w:rPr>
          <w:rFonts w:ascii="Arial" w:hAnsi="Arial" w:cs="Arial"/>
          <w:sz w:val="20"/>
          <w:szCs w:val="20"/>
        </w:rPr>
        <w:t>Key Investor Information Document</w:t>
      </w:r>
      <w:r w:rsidR="0064619D">
        <w:t xml:space="preserve"> should be </w:t>
      </w:r>
      <w:r>
        <w:t>(CESR's template for the Key Investor Information document). The above are available on the website of the Commission (www.cysec.gov.cy-European issues) and on the website of the European Securities and Markets Authority (</w:t>
      </w:r>
      <w:hyperlink r:id="rId9" w:history="1">
        <w:r w:rsidRPr="00E5799E">
          <w:rPr>
            <w:rStyle w:val="Hyperlink"/>
          </w:rPr>
          <w:t>http://www.esma.europa.eu</w:t>
        </w:r>
      </w:hyperlink>
      <w:r>
        <w:t>).</w:t>
      </w:r>
    </w:p>
    <w:p w:rsidR="00D226D6" w:rsidRPr="00C20708" w:rsidRDefault="00D226D6" w:rsidP="00C20708">
      <w:pPr>
        <w:pStyle w:val="ListParagraph"/>
        <w:numPr>
          <w:ilvl w:val="0"/>
          <w:numId w:val="15"/>
        </w:numPr>
        <w:autoSpaceDE w:val="0"/>
        <w:autoSpaceDN w:val="0"/>
        <w:adjustRightInd w:val="0"/>
        <w:spacing w:after="0" w:line="240" w:lineRule="auto"/>
        <w:jc w:val="both"/>
        <w:rPr>
          <w:rFonts w:ascii="Arial" w:hAnsi="Arial" w:cs="Arial"/>
          <w:sz w:val="20"/>
          <w:szCs w:val="20"/>
        </w:rPr>
      </w:pPr>
      <w:r w:rsidRPr="00C20708">
        <w:rPr>
          <w:rFonts w:ascii="Arial" w:hAnsi="Arial" w:cs="Arial"/>
          <w:b/>
          <w:i/>
          <w:sz w:val="20"/>
          <w:szCs w:val="20"/>
        </w:rPr>
        <w:t>The said checklist to be completed by the i</w:t>
      </w:r>
      <w:r w:rsidR="00C20708" w:rsidRPr="00C20708">
        <w:rPr>
          <w:rFonts w:ascii="Arial" w:hAnsi="Arial" w:cs="Arial"/>
          <w:b/>
          <w:i/>
          <w:sz w:val="20"/>
          <w:szCs w:val="20"/>
        </w:rPr>
        <w:t xml:space="preserve">nterested parties. In the case </w:t>
      </w:r>
      <w:r w:rsidRPr="00C20708">
        <w:rPr>
          <w:rFonts w:ascii="Arial" w:hAnsi="Arial" w:cs="Arial"/>
          <w:b/>
          <w:i/>
          <w:sz w:val="20"/>
          <w:szCs w:val="20"/>
        </w:rPr>
        <w:t xml:space="preserve">a section </w:t>
      </w:r>
      <w:r w:rsidRPr="00C20708">
        <w:rPr>
          <w:rFonts w:ascii="Arial" w:eastAsia="Calibri" w:hAnsi="Arial" w:cs="Arial"/>
          <w:b/>
          <w:sz w:val="20"/>
          <w:szCs w:val="20"/>
        </w:rPr>
        <w:t>does not apply state ‘N/A’.</w:t>
      </w:r>
    </w:p>
    <w:p w:rsidR="003938AE" w:rsidRPr="00D226D6" w:rsidRDefault="003938AE" w:rsidP="00BE341D">
      <w:pPr>
        <w:autoSpaceDE w:val="0"/>
        <w:autoSpaceDN w:val="0"/>
        <w:adjustRightInd w:val="0"/>
        <w:spacing w:after="0" w:line="240" w:lineRule="auto"/>
        <w:rPr>
          <w:rFonts w:cstheme="minorHAnsi"/>
          <w:sz w:val="24"/>
          <w:szCs w:val="24"/>
        </w:rPr>
      </w:pPr>
    </w:p>
    <w:p w:rsidR="00E96207" w:rsidRPr="00D226D6" w:rsidRDefault="00E96207" w:rsidP="00BE341D">
      <w:pPr>
        <w:autoSpaceDE w:val="0"/>
        <w:autoSpaceDN w:val="0"/>
        <w:adjustRightInd w:val="0"/>
        <w:spacing w:after="0" w:line="240" w:lineRule="auto"/>
        <w:rPr>
          <w:rFonts w:cstheme="minorHAnsi"/>
          <w:sz w:val="24"/>
          <w:szCs w:val="24"/>
          <w:lang w:val="en-GB"/>
        </w:rPr>
      </w:pPr>
    </w:p>
    <w:p w:rsidR="00021C80" w:rsidRPr="00D226D6" w:rsidRDefault="00021C80" w:rsidP="00BE341D">
      <w:pPr>
        <w:autoSpaceDE w:val="0"/>
        <w:autoSpaceDN w:val="0"/>
        <w:adjustRightInd w:val="0"/>
        <w:spacing w:after="0" w:line="240" w:lineRule="auto"/>
        <w:rPr>
          <w:rFonts w:cstheme="minorHAnsi"/>
          <w:sz w:val="24"/>
          <w:szCs w:val="24"/>
          <w:lang w:val="en-GB"/>
        </w:rPr>
      </w:pPr>
    </w:p>
    <w:p w:rsidR="005756CE" w:rsidRPr="00D226D6" w:rsidRDefault="005756CE" w:rsidP="00BE341D">
      <w:pPr>
        <w:autoSpaceDE w:val="0"/>
        <w:autoSpaceDN w:val="0"/>
        <w:adjustRightInd w:val="0"/>
        <w:spacing w:after="0" w:line="240" w:lineRule="auto"/>
        <w:rPr>
          <w:rFonts w:cstheme="minorHAnsi"/>
          <w:sz w:val="24"/>
          <w:szCs w:val="24"/>
          <w:lang w:val="en-GB"/>
        </w:rPr>
      </w:pPr>
    </w:p>
    <w:p w:rsidR="005756CE" w:rsidRPr="00D226D6" w:rsidRDefault="005756CE" w:rsidP="00BE341D">
      <w:pPr>
        <w:autoSpaceDE w:val="0"/>
        <w:autoSpaceDN w:val="0"/>
        <w:adjustRightInd w:val="0"/>
        <w:spacing w:after="0" w:line="240" w:lineRule="auto"/>
        <w:rPr>
          <w:rFonts w:cstheme="minorHAnsi"/>
          <w:sz w:val="24"/>
          <w:szCs w:val="24"/>
          <w:lang w:val="en-GB"/>
        </w:rPr>
      </w:pPr>
    </w:p>
    <w:p w:rsidR="005756CE" w:rsidRPr="00D226D6" w:rsidRDefault="005756CE" w:rsidP="00BE341D">
      <w:pPr>
        <w:autoSpaceDE w:val="0"/>
        <w:autoSpaceDN w:val="0"/>
        <w:adjustRightInd w:val="0"/>
        <w:spacing w:after="0" w:line="240" w:lineRule="auto"/>
        <w:rPr>
          <w:rFonts w:cstheme="minorHAnsi"/>
          <w:sz w:val="24"/>
          <w:szCs w:val="24"/>
          <w:lang w:val="en-GB"/>
        </w:rPr>
      </w:pPr>
    </w:p>
    <w:p w:rsidR="005756CE" w:rsidRPr="00D226D6" w:rsidRDefault="005756CE" w:rsidP="00BE341D">
      <w:pPr>
        <w:autoSpaceDE w:val="0"/>
        <w:autoSpaceDN w:val="0"/>
        <w:adjustRightInd w:val="0"/>
        <w:spacing w:after="0" w:line="240" w:lineRule="auto"/>
        <w:rPr>
          <w:rFonts w:cstheme="minorHAnsi"/>
          <w:sz w:val="24"/>
          <w:szCs w:val="24"/>
          <w:lang w:val="en-GB"/>
        </w:rPr>
      </w:pPr>
    </w:p>
    <w:p w:rsidR="00000A04" w:rsidRPr="00D226D6" w:rsidRDefault="00000A04" w:rsidP="00BE341D">
      <w:pPr>
        <w:autoSpaceDE w:val="0"/>
        <w:autoSpaceDN w:val="0"/>
        <w:adjustRightInd w:val="0"/>
        <w:spacing w:after="0" w:line="240" w:lineRule="auto"/>
        <w:rPr>
          <w:rFonts w:cstheme="minorHAnsi"/>
          <w:sz w:val="24"/>
          <w:szCs w:val="24"/>
          <w:lang w:val="en-GB"/>
        </w:rPr>
      </w:pPr>
    </w:p>
    <w:p w:rsidR="005756CE" w:rsidRPr="00D226D6" w:rsidRDefault="005756CE" w:rsidP="00BE341D">
      <w:pPr>
        <w:autoSpaceDE w:val="0"/>
        <w:autoSpaceDN w:val="0"/>
        <w:adjustRightInd w:val="0"/>
        <w:spacing w:after="0" w:line="240" w:lineRule="auto"/>
        <w:rPr>
          <w:rFonts w:cstheme="minorHAnsi"/>
          <w:sz w:val="24"/>
          <w:szCs w:val="24"/>
          <w:lang w:val="en-GB"/>
        </w:rPr>
      </w:pPr>
    </w:p>
    <w:p w:rsidR="00021C80" w:rsidRPr="00D226D6" w:rsidRDefault="00021C80" w:rsidP="00BE341D">
      <w:pPr>
        <w:autoSpaceDE w:val="0"/>
        <w:autoSpaceDN w:val="0"/>
        <w:adjustRightInd w:val="0"/>
        <w:spacing w:after="0" w:line="240" w:lineRule="auto"/>
        <w:rPr>
          <w:rFonts w:cstheme="minorHAnsi"/>
          <w:b/>
          <w:sz w:val="24"/>
          <w:szCs w:val="24"/>
          <w:lang w:val="en-GB"/>
        </w:rPr>
      </w:pPr>
    </w:p>
    <w:p w:rsidR="00213573" w:rsidRDefault="00213573" w:rsidP="00BE341D">
      <w:pPr>
        <w:autoSpaceDE w:val="0"/>
        <w:autoSpaceDN w:val="0"/>
        <w:adjustRightInd w:val="0"/>
        <w:spacing w:after="0" w:line="240" w:lineRule="auto"/>
        <w:rPr>
          <w:rFonts w:cstheme="minorHAnsi"/>
          <w:b/>
          <w:sz w:val="24"/>
          <w:szCs w:val="24"/>
          <w:lang w:val="en-GB"/>
        </w:rPr>
      </w:pPr>
    </w:p>
    <w:p w:rsidR="00D226D6" w:rsidRDefault="00D226D6" w:rsidP="00BE341D">
      <w:pPr>
        <w:autoSpaceDE w:val="0"/>
        <w:autoSpaceDN w:val="0"/>
        <w:adjustRightInd w:val="0"/>
        <w:spacing w:after="0" w:line="240" w:lineRule="auto"/>
        <w:rPr>
          <w:rFonts w:cstheme="minorHAnsi"/>
          <w:b/>
          <w:sz w:val="24"/>
          <w:szCs w:val="24"/>
          <w:lang w:val="en-GB"/>
        </w:rPr>
      </w:pPr>
    </w:p>
    <w:p w:rsidR="00D226D6" w:rsidRDefault="00D226D6" w:rsidP="00BE341D">
      <w:pPr>
        <w:autoSpaceDE w:val="0"/>
        <w:autoSpaceDN w:val="0"/>
        <w:adjustRightInd w:val="0"/>
        <w:spacing w:after="0" w:line="240" w:lineRule="auto"/>
        <w:rPr>
          <w:rFonts w:cstheme="minorHAnsi"/>
          <w:b/>
          <w:sz w:val="24"/>
          <w:szCs w:val="24"/>
          <w:lang w:val="en-GB"/>
        </w:rPr>
      </w:pPr>
    </w:p>
    <w:p w:rsidR="00D226D6" w:rsidRDefault="00D226D6" w:rsidP="00BE341D">
      <w:pPr>
        <w:autoSpaceDE w:val="0"/>
        <w:autoSpaceDN w:val="0"/>
        <w:adjustRightInd w:val="0"/>
        <w:spacing w:after="0" w:line="240" w:lineRule="auto"/>
        <w:rPr>
          <w:rFonts w:cstheme="minorHAnsi"/>
          <w:b/>
          <w:sz w:val="24"/>
          <w:szCs w:val="24"/>
          <w:lang w:val="en-GB"/>
        </w:rPr>
      </w:pPr>
    </w:p>
    <w:p w:rsidR="00D226D6" w:rsidRDefault="00D226D6" w:rsidP="00BE341D">
      <w:pPr>
        <w:autoSpaceDE w:val="0"/>
        <w:autoSpaceDN w:val="0"/>
        <w:adjustRightInd w:val="0"/>
        <w:spacing w:after="0" w:line="240" w:lineRule="auto"/>
        <w:rPr>
          <w:rFonts w:cstheme="minorHAnsi"/>
          <w:b/>
          <w:sz w:val="24"/>
          <w:szCs w:val="24"/>
          <w:lang w:val="en-GB"/>
        </w:rPr>
      </w:pPr>
    </w:p>
    <w:p w:rsidR="00D226D6" w:rsidRDefault="00D226D6" w:rsidP="00BE341D">
      <w:pPr>
        <w:autoSpaceDE w:val="0"/>
        <w:autoSpaceDN w:val="0"/>
        <w:adjustRightInd w:val="0"/>
        <w:spacing w:after="0" w:line="240" w:lineRule="auto"/>
        <w:rPr>
          <w:rFonts w:cstheme="minorHAnsi"/>
          <w:b/>
          <w:sz w:val="24"/>
          <w:szCs w:val="24"/>
          <w:lang w:val="en-GB"/>
        </w:rPr>
      </w:pPr>
    </w:p>
    <w:p w:rsidR="00D226D6" w:rsidRDefault="00D226D6" w:rsidP="00BE341D">
      <w:pPr>
        <w:autoSpaceDE w:val="0"/>
        <w:autoSpaceDN w:val="0"/>
        <w:adjustRightInd w:val="0"/>
        <w:spacing w:after="0" w:line="240" w:lineRule="auto"/>
        <w:rPr>
          <w:rFonts w:cstheme="minorHAnsi"/>
          <w:b/>
          <w:sz w:val="24"/>
          <w:szCs w:val="24"/>
          <w:lang w:val="en-GB"/>
        </w:rPr>
      </w:pPr>
    </w:p>
    <w:p w:rsidR="00C20708" w:rsidRDefault="00C20708" w:rsidP="00BE341D">
      <w:pPr>
        <w:autoSpaceDE w:val="0"/>
        <w:autoSpaceDN w:val="0"/>
        <w:adjustRightInd w:val="0"/>
        <w:spacing w:after="0" w:line="240" w:lineRule="auto"/>
        <w:rPr>
          <w:rFonts w:cstheme="minorHAnsi"/>
          <w:b/>
          <w:sz w:val="24"/>
          <w:szCs w:val="24"/>
          <w:lang w:val="en-GB"/>
        </w:rPr>
      </w:pPr>
    </w:p>
    <w:p w:rsidR="00C20708" w:rsidRDefault="00C20708" w:rsidP="00BE341D">
      <w:pPr>
        <w:autoSpaceDE w:val="0"/>
        <w:autoSpaceDN w:val="0"/>
        <w:adjustRightInd w:val="0"/>
        <w:spacing w:after="0" w:line="240" w:lineRule="auto"/>
        <w:rPr>
          <w:rFonts w:cstheme="minorHAnsi"/>
          <w:b/>
          <w:sz w:val="24"/>
          <w:szCs w:val="24"/>
          <w:lang w:val="en-GB"/>
        </w:rPr>
      </w:pPr>
    </w:p>
    <w:p w:rsidR="00C20708" w:rsidRDefault="00C20708" w:rsidP="00BE341D">
      <w:pPr>
        <w:autoSpaceDE w:val="0"/>
        <w:autoSpaceDN w:val="0"/>
        <w:adjustRightInd w:val="0"/>
        <w:spacing w:after="0" w:line="240" w:lineRule="auto"/>
        <w:rPr>
          <w:rFonts w:cstheme="minorHAnsi"/>
          <w:b/>
          <w:sz w:val="24"/>
          <w:szCs w:val="24"/>
          <w:lang w:val="en-GB"/>
        </w:rPr>
      </w:pPr>
    </w:p>
    <w:p w:rsidR="00C20708" w:rsidRDefault="00C20708" w:rsidP="00BE341D">
      <w:pPr>
        <w:autoSpaceDE w:val="0"/>
        <w:autoSpaceDN w:val="0"/>
        <w:adjustRightInd w:val="0"/>
        <w:spacing w:after="0" w:line="240" w:lineRule="auto"/>
        <w:rPr>
          <w:rFonts w:cstheme="minorHAnsi"/>
          <w:b/>
          <w:sz w:val="24"/>
          <w:szCs w:val="24"/>
          <w:lang w:val="en-GB"/>
        </w:rPr>
      </w:pPr>
    </w:p>
    <w:p w:rsidR="00C20708" w:rsidRPr="00D226D6" w:rsidRDefault="00C20708" w:rsidP="00BE341D">
      <w:pPr>
        <w:autoSpaceDE w:val="0"/>
        <w:autoSpaceDN w:val="0"/>
        <w:adjustRightInd w:val="0"/>
        <w:spacing w:after="0" w:line="240" w:lineRule="auto"/>
        <w:rPr>
          <w:rFonts w:cstheme="minorHAnsi"/>
          <w:b/>
          <w:sz w:val="24"/>
          <w:szCs w:val="24"/>
          <w:lang w:val="en-GB"/>
        </w:rPr>
      </w:pPr>
    </w:p>
    <w:tbl>
      <w:tblPr>
        <w:tblW w:w="96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3"/>
        <w:gridCol w:w="1276"/>
        <w:gridCol w:w="1559"/>
        <w:gridCol w:w="1560"/>
      </w:tblGrid>
      <w:tr w:rsidR="00A75F5E" w:rsidRPr="001B0AEE" w:rsidTr="0039191B">
        <w:trPr>
          <w:trHeight w:val="600"/>
        </w:trPr>
        <w:tc>
          <w:tcPr>
            <w:tcW w:w="5223" w:type="dxa"/>
            <w:shd w:val="clear" w:color="auto" w:fill="EEECE1" w:themeFill="background2"/>
          </w:tcPr>
          <w:p w:rsidR="00000A04" w:rsidRPr="001B0AEE" w:rsidRDefault="00000A04" w:rsidP="00F26BA0">
            <w:pPr>
              <w:autoSpaceDE w:val="0"/>
              <w:autoSpaceDN w:val="0"/>
              <w:adjustRightInd w:val="0"/>
              <w:spacing w:after="0" w:line="240" w:lineRule="auto"/>
              <w:jc w:val="both"/>
              <w:rPr>
                <w:rFonts w:cstheme="minorHAnsi"/>
                <w:b/>
                <w:lang w:val="en-GB"/>
              </w:rPr>
            </w:pPr>
          </w:p>
          <w:p w:rsidR="00E41BD5" w:rsidRPr="001B0AEE" w:rsidRDefault="00F26BA0" w:rsidP="00F26BA0">
            <w:pPr>
              <w:autoSpaceDE w:val="0"/>
              <w:autoSpaceDN w:val="0"/>
              <w:adjustRightInd w:val="0"/>
              <w:spacing w:after="0" w:line="240" w:lineRule="auto"/>
              <w:jc w:val="both"/>
              <w:rPr>
                <w:rFonts w:cstheme="minorHAnsi"/>
                <w:b/>
                <w:lang w:val="en-GB"/>
              </w:rPr>
            </w:pPr>
            <w:r w:rsidRPr="001B0AEE">
              <w:rPr>
                <w:rFonts w:cstheme="minorHAnsi"/>
                <w:b/>
              </w:rPr>
              <w:t>I</w:t>
            </w:r>
            <w:r w:rsidRPr="001B0AEE">
              <w:rPr>
                <w:rFonts w:cstheme="minorHAnsi"/>
                <w:b/>
                <w:lang w:val="en-GB"/>
              </w:rPr>
              <w:t>.</w:t>
            </w:r>
            <w:r w:rsidR="00C20708" w:rsidRPr="001B0AEE">
              <w:rPr>
                <w:rFonts w:cstheme="minorHAnsi"/>
                <w:b/>
                <w:lang w:val="en-GB"/>
              </w:rPr>
              <w:t xml:space="preserve"> </w:t>
            </w:r>
            <w:r w:rsidR="00D226D6" w:rsidRPr="001B0AEE">
              <w:rPr>
                <w:rFonts w:cstheme="minorHAnsi"/>
                <w:b/>
                <w:lang w:val="en-GB"/>
              </w:rPr>
              <w:t xml:space="preserve">Minimum content of the Key Investor Information Document in accordance with the UCI Law [sections </w:t>
            </w:r>
            <w:r w:rsidR="00DE1CEF" w:rsidRPr="001B0AEE">
              <w:rPr>
                <w:rFonts w:cstheme="minorHAnsi"/>
                <w:b/>
                <w:lang w:val="en-GB"/>
              </w:rPr>
              <w:t>43(</w:t>
            </w:r>
            <w:r w:rsidR="00D226D6" w:rsidRPr="001B0AEE">
              <w:rPr>
                <w:rFonts w:cstheme="minorHAnsi"/>
                <w:b/>
                <w:lang w:val="en-GB"/>
              </w:rPr>
              <w:t>d</w:t>
            </w:r>
            <w:r w:rsidR="00DE1CEF" w:rsidRPr="001B0AEE">
              <w:rPr>
                <w:rFonts w:cstheme="minorHAnsi"/>
                <w:b/>
                <w:lang w:val="en-GB"/>
              </w:rPr>
              <w:t>),47(2)</w:t>
            </w:r>
            <w:r w:rsidR="00E86CE3" w:rsidRPr="001B0AEE">
              <w:rPr>
                <w:rFonts w:cstheme="minorHAnsi"/>
                <w:b/>
                <w:lang w:val="en-GB"/>
              </w:rPr>
              <w:t>, 60(1)-(4</w:t>
            </w:r>
            <w:r w:rsidR="00C62DEA" w:rsidRPr="001B0AEE">
              <w:rPr>
                <w:rFonts w:cstheme="minorHAnsi"/>
                <w:b/>
                <w:lang w:val="en-GB"/>
              </w:rPr>
              <w:t>)</w:t>
            </w:r>
            <w:r w:rsidR="00A53DD0" w:rsidRPr="001B0AEE">
              <w:rPr>
                <w:rFonts w:cstheme="minorHAnsi"/>
                <w:b/>
                <w:lang w:val="en-GB"/>
              </w:rPr>
              <w:t xml:space="preserve"> </w:t>
            </w:r>
            <w:r w:rsidR="00D226D6" w:rsidRPr="001B0AEE">
              <w:rPr>
                <w:rFonts w:cstheme="minorHAnsi"/>
                <w:b/>
                <w:lang w:val="en-GB"/>
              </w:rPr>
              <w:t xml:space="preserve">and </w:t>
            </w:r>
            <w:r w:rsidR="00A53DD0" w:rsidRPr="001B0AEE">
              <w:rPr>
                <w:rFonts w:cstheme="minorHAnsi"/>
                <w:b/>
                <w:lang w:val="en-GB"/>
              </w:rPr>
              <w:t>115(1)(</w:t>
            </w:r>
            <w:r w:rsidR="00D226D6" w:rsidRPr="001B0AEE">
              <w:rPr>
                <w:rFonts w:cstheme="minorHAnsi"/>
                <w:b/>
                <w:lang w:val="en-GB"/>
              </w:rPr>
              <w:t>f)]</w:t>
            </w:r>
          </w:p>
          <w:p w:rsidR="00021C80" w:rsidRPr="001B0AEE" w:rsidRDefault="00021C80" w:rsidP="00F26BA0">
            <w:pPr>
              <w:autoSpaceDE w:val="0"/>
              <w:autoSpaceDN w:val="0"/>
              <w:adjustRightInd w:val="0"/>
              <w:spacing w:after="0" w:line="240" w:lineRule="auto"/>
              <w:jc w:val="both"/>
              <w:rPr>
                <w:rFonts w:cstheme="minorHAnsi"/>
                <w:b/>
                <w:lang w:val="en-GB"/>
              </w:rPr>
            </w:pPr>
          </w:p>
        </w:tc>
        <w:tc>
          <w:tcPr>
            <w:tcW w:w="1276" w:type="dxa"/>
          </w:tcPr>
          <w:p w:rsidR="00312F27" w:rsidRPr="001B0AEE" w:rsidRDefault="00D226D6" w:rsidP="00B128D1">
            <w:pPr>
              <w:autoSpaceDE w:val="0"/>
              <w:autoSpaceDN w:val="0"/>
              <w:adjustRightInd w:val="0"/>
              <w:spacing w:after="0" w:line="240" w:lineRule="auto"/>
              <w:jc w:val="center"/>
              <w:rPr>
                <w:rFonts w:cstheme="minorHAnsi"/>
                <w:b/>
              </w:rPr>
            </w:pPr>
            <w:r w:rsidRPr="001B0AEE">
              <w:rPr>
                <w:rFonts w:cstheme="minorHAnsi"/>
                <w:b/>
              </w:rPr>
              <w:t>Page</w:t>
            </w:r>
          </w:p>
        </w:tc>
        <w:tc>
          <w:tcPr>
            <w:tcW w:w="1559" w:type="dxa"/>
          </w:tcPr>
          <w:p w:rsidR="00312F27" w:rsidRPr="001B0AEE" w:rsidRDefault="00D226D6" w:rsidP="00D226D6">
            <w:pPr>
              <w:autoSpaceDE w:val="0"/>
              <w:autoSpaceDN w:val="0"/>
              <w:adjustRightInd w:val="0"/>
              <w:spacing w:after="0" w:line="240" w:lineRule="auto"/>
              <w:jc w:val="center"/>
              <w:rPr>
                <w:rFonts w:cstheme="minorHAnsi"/>
                <w:b/>
              </w:rPr>
            </w:pPr>
            <w:r w:rsidRPr="001B0AEE">
              <w:rPr>
                <w:rFonts w:cstheme="minorHAnsi"/>
                <w:b/>
              </w:rPr>
              <w:t>Paragraph</w:t>
            </w:r>
          </w:p>
        </w:tc>
        <w:tc>
          <w:tcPr>
            <w:tcW w:w="1560" w:type="dxa"/>
          </w:tcPr>
          <w:p w:rsidR="00312F27" w:rsidRPr="001B0AEE" w:rsidRDefault="00D226D6" w:rsidP="00B128D1">
            <w:pPr>
              <w:autoSpaceDE w:val="0"/>
              <w:autoSpaceDN w:val="0"/>
              <w:adjustRightInd w:val="0"/>
              <w:spacing w:after="0" w:line="240" w:lineRule="auto"/>
              <w:jc w:val="center"/>
              <w:rPr>
                <w:rFonts w:cstheme="minorHAnsi"/>
                <w:b/>
              </w:rPr>
            </w:pPr>
            <w:r w:rsidRPr="001B0AEE">
              <w:rPr>
                <w:rFonts w:cstheme="minorHAnsi"/>
                <w:b/>
              </w:rPr>
              <w:t>For official use</w:t>
            </w:r>
          </w:p>
        </w:tc>
      </w:tr>
      <w:tr w:rsidR="001B685A" w:rsidRPr="001B0AEE" w:rsidTr="0039191B">
        <w:trPr>
          <w:trHeight w:val="213"/>
        </w:trPr>
        <w:tc>
          <w:tcPr>
            <w:tcW w:w="5223" w:type="dxa"/>
          </w:tcPr>
          <w:p w:rsidR="00E41BD5" w:rsidRPr="001B0AEE" w:rsidRDefault="00661CD8" w:rsidP="001B0AEE">
            <w:pPr>
              <w:autoSpaceDE w:val="0"/>
              <w:autoSpaceDN w:val="0"/>
              <w:adjustRightInd w:val="0"/>
              <w:spacing w:after="0" w:line="240" w:lineRule="auto"/>
              <w:jc w:val="both"/>
              <w:rPr>
                <w:rFonts w:cs="Times New Roman"/>
              </w:rPr>
            </w:pPr>
            <w:r w:rsidRPr="001B0AEE">
              <w:rPr>
                <w:rFonts w:cstheme="minorHAnsi"/>
              </w:rPr>
              <w:t>Section 43(d</w:t>
            </w:r>
            <w:r w:rsidR="00BD4FE9" w:rsidRPr="001B0AEE">
              <w:rPr>
                <w:rFonts w:cstheme="minorHAnsi"/>
              </w:rPr>
              <w:t xml:space="preserve">): </w:t>
            </w:r>
            <w:r w:rsidR="001B0AEE" w:rsidRPr="001B0AEE">
              <w:rPr>
                <w:rFonts w:cs="Times New Roman"/>
              </w:rPr>
              <w:t>The UCITS shall include a prominent statement in its prospectus, key investor information and marketing communications drawing attention to the use of the deviation under the present section and indicating the member states, local authorities and public international bodies in which it intends to invest or has invested more than 35 % of its assets.</w:t>
            </w:r>
          </w:p>
          <w:p w:rsidR="001B0AEE" w:rsidRPr="001B0AEE" w:rsidRDefault="001B0AEE" w:rsidP="001B0AEE">
            <w:pPr>
              <w:autoSpaceDE w:val="0"/>
              <w:autoSpaceDN w:val="0"/>
              <w:adjustRightInd w:val="0"/>
              <w:spacing w:after="0" w:line="240" w:lineRule="auto"/>
              <w:jc w:val="both"/>
              <w:rPr>
                <w:rFonts w:cstheme="minorHAnsi"/>
              </w:rPr>
            </w:pPr>
          </w:p>
        </w:tc>
        <w:tc>
          <w:tcPr>
            <w:tcW w:w="1276" w:type="dxa"/>
          </w:tcPr>
          <w:p w:rsidR="001B685A" w:rsidRPr="001B0AEE" w:rsidRDefault="001B685A" w:rsidP="00BB3786">
            <w:pPr>
              <w:autoSpaceDE w:val="0"/>
              <w:autoSpaceDN w:val="0"/>
              <w:adjustRightInd w:val="0"/>
              <w:spacing w:after="0" w:line="240" w:lineRule="auto"/>
              <w:jc w:val="both"/>
              <w:rPr>
                <w:rFonts w:cstheme="minorHAnsi"/>
              </w:rPr>
            </w:pPr>
          </w:p>
        </w:tc>
        <w:tc>
          <w:tcPr>
            <w:tcW w:w="1559" w:type="dxa"/>
          </w:tcPr>
          <w:p w:rsidR="001B685A" w:rsidRPr="001B0AEE" w:rsidRDefault="001B685A" w:rsidP="00BB3786">
            <w:pPr>
              <w:autoSpaceDE w:val="0"/>
              <w:autoSpaceDN w:val="0"/>
              <w:adjustRightInd w:val="0"/>
              <w:spacing w:after="0" w:line="240" w:lineRule="auto"/>
              <w:jc w:val="both"/>
              <w:rPr>
                <w:rFonts w:cstheme="minorHAnsi"/>
              </w:rPr>
            </w:pPr>
          </w:p>
        </w:tc>
        <w:tc>
          <w:tcPr>
            <w:tcW w:w="1560" w:type="dxa"/>
          </w:tcPr>
          <w:p w:rsidR="001B685A" w:rsidRPr="001B0AEE" w:rsidRDefault="001B685A" w:rsidP="00BB3786">
            <w:pPr>
              <w:autoSpaceDE w:val="0"/>
              <w:autoSpaceDN w:val="0"/>
              <w:adjustRightInd w:val="0"/>
              <w:spacing w:after="0" w:line="240" w:lineRule="auto"/>
              <w:jc w:val="both"/>
              <w:rPr>
                <w:rFonts w:cstheme="minorHAnsi"/>
              </w:rPr>
            </w:pPr>
          </w:p>
        </w:tc>
      </w:tr>
      <w:tr w:rsidR="00BD4FE9" w:rsidRPr="001B0AEE" w:rsidTr="0039191B">
        <w:trPr>
          <w:trHeight w:val="213"/>
        </w:trPr>
        <w:tc>
          <w:tcPr>
            <w:tcW w:w="5223" w:type="dxa"/>
          </w:tcPr>
          <w:p w:rsidR="00BD4FE9" w:rsidRPr="001B0AEE" w:rsidRDefault="00661CD8" w:rsidP="00661CD8">
            <w:pPr>
              <w:autoSpaceDE w:val="0"/>
              <w:autoSpaceDN w:val="0"/>
              <w:adjustRightInd w:val="0"/>
              <w:spacing w:after="0" w:line="240" w:lineRule="auto"/>
              <w:jc w:val="both"/>
              <w:rPr>
                <w:rFonts w:cstheme="minorHAnsi"/>
              </w:rPr>
            </w:pPr>
            <w:r w:rsidRPr="001B0AEE">
              <w:rPr>
                <w:rFonts w:cstheme="minorHAnsi"/>
              </w:rPr>
              <w:t xml:space="preserve">Section </w:t>
            </w:r>
            <w:r w:rsidR="00BD4FE9" w:rsidRPr="001B0AEE">
              <w:rPr>
                <w:rFonts w:cstheme="minorHAnsi"/>
              </w:rPr>
              <w:t>47(</w:t>
            </w:r>
            <w:r w:rsidRPr="001B0AEE">
              <w:rPr>
                <w:rFonts w:cstheme="minorHAnsi"/>
              </w:rPr>
              <w:t>2</w:t>
            </w:r>
            <w:r w:rsidR="00BD4FE9" w:rsidRPr="001B0AEE">
              <w:rPr>
                <w:rFonts w:cstheme="minorHAnsi"/>
              </w:rPr>
              <w:t xml:space="preserve">): </w:t>
            </w:r>
            <w:r w:rsidR="001B0AEE" w:rsidRPr="001B0AEE">
              <w:rPr>
                <w:rFonts w:cs="Times New Roman"/>
              </w:rPr>
              <w:t>The prospectus of the UCITS as well as the key investor information will further specify the way under which the guarantee referred to in the present section is provided.</w:t>
            </w:r>
          </w:p>
          <w:p w:rsidR="001B0AEE" w:rsidRPr="001B0AEE" w:rsidRDefault="001B0AEE" w:rsidP="00661CD8">
            <w:pPr>
              <w:autoSpaceDE w:val="0"/>
              <w:autoSpaceDN w:val="0"/>
              <w:adjustRightInd w:val="0"/>
              <w:spacing w:after="0" w:line="240" w:lineRule="auto"/>
              <w:jc w:val="both"/>
              <w:rPr>
                <w:rFonts w:cstheme="minorHAnsi"/>
              </w:rPr>
            </w:pPr>
          </w:p>
        </w:tc>
        <w:tc>
          <w:tcPr>
            <w:tcW w:w="1276" w:type="dxa"/>
          </w:tcPr>
          <w:p w:rsidR="00BD4FE9" w:rsidRPr="001B0AEE" w:rsidRDefault="00BD4FE9" w:rsidP="00BB3786">
            <w:pPr>
              <w:autoSpaceDE w:val="0"/>
              <w:autoSpaceDN w:val="0"/>
              <w:adjustRightInd w:val="0"/>
              <w:spacing w:after="0" w:line="240" w:lineRule="auto"/>
              <w:jc w:val="both"/>
              <w:rPr>
                <w:rFonts w:cstheme="minorHAnsi"/>
              </w:rPr>
            </w:pPr>
          </w:p>
        </w:tc>
        <w:tc>
          <w:tcPr>
            <w:tcW w:w="1559" w:type="dxa"/>
          </w:tcPr>
          <w:p w:rsidR="00BD4FE9" w:rsidRPr="001B0AEE" w:rsidRDefault="00BD4FE9" w:rsidP="00BB3786">
            <w:pPr>
              <w:autoSpaceDE w:val="0"/>
              <w:autoSpaceDN w:val="0"/>
              <w:adjustRightInd w:val="0"/>
              <w:spacing w:after="0" w:line="240" w:lineRule="auto"/>
              <w:jc w:val="both"/>
              <w:rPr>
                <w:rFonts w:cstheme="minorHAnsi"/>
              </w:rPr>
            </w:pPr>
          </w:p>
        </w:tc>
        <w:tc>
          <w:tcPr>
            <w:tcW w:w="1560" w:type="dxa"/>
          </w:tcPr>
          <w:p w:rsidR="00BD4FE9" w:rsidRPr="001B0AEE" w:rsidRDefault="00BD4FE9" w:rsidP="00BB3786">
            <w:pPr>
              <w:autoSpaceDE w:val="0"/>
              <w:autoSpaceDN w:val="0"/>
              <w:adjustRightInd w:val="0"/>
              <w:spacing w:after="0" w:line="240" w:lineRule="auto"/>
              <w:jc w:val="both"/>
              <w:rPr>
                <w:rFonts w:cstheme="minorHAnsi"/>
              </w:rPr>
            </w:pPr>
          </w:p>
        </w:tc>
      </w:tr>
      <w:tr w:rsidR="00A75F5E" w:rsidRPr="001B0AEE" w:rsidTr="0039191B">
        <w:trPr>
          <w:trHeight w:val="213"/>
        </w:trPr>
        <w:tc>
          <w:tcPr>
            <w:tcW w:w="5223" w:type="dxa"/>
          </w:tcPr>
          <w:p w:rsidR="001B0AEE" w:rsidRPr="008935DF" w:rsidRDefault="00661CD8" w:rsidP="001B0AEE">
            <w:pPr>
              <w:autoSpaceDE w:val="0"/>
              <w:autoSpaceDN w:val="0"/>
              <w:adjustRightInd w:val="0"/>
              <w:spacing w:after="0" w:line="240" w:lineRule="auto"/>
              <w:jc w:val="both"/>
              <w:rPr>
                <w:rFonts w:cstheme="minorHAnsi"/>
              </w:rPr>
            </w:pPr>
            <w:r w:rsidRPr="001B0AEE">
              <w:rPr>
                <w:rFonts w:cstheme="minorHAnsi"/>
              </w:rPr>
              <w:t xml:space="preserve">Section </w:t>
            </w:r>
            <w:r w:rsidR="001B0AEE" w:rsidRPr="001B0AEE">
              <w:rPr>
                <w:rFonts w:cstheme="minorHAnsi"/>
              </w:rPr>
              <w:t>62</w:t>
            </w:r>
            <w:r w:rsidR="00DE1CEF" w:rsidRPr="001B0AEE">
              <w:rPr>
                <w:rFonts w:cstheme="minorHAnsi"/>
              </w:rPr>
              <w:t xml:space="preserve">(1): </w:t>
            </w:r>
            <w:r w:rsidR="001B0AEE" w:rsidRPr="001B0AEE">
              <w:rPr>
                <w:rFonts w:cs="Times New Roman"/>
              </w:rPr>
              <w:t>The Management Companies, for every UCITS they manage that is established in the Republic, and the Variable Capital Investment Company, under the condition that it is a company with registered office in the Republic which has not appointed a Management Company, shall draw up key investor information, which include appropriate information about the essential characteristics of the UCITS concerned, which is to be provided to investors so that they are reasonably able to understand the nature and the risks of the investment product that is being offered to them and, consequently, to take investment decisions on an informed basis. The words ‘key investor information’ shall be clearly stated in that document, in an official language of the Republic or in English. In case that this document concerns a UCITS established in the Republic, the units of which are distributed in other member states, these words shall be also translated in the official language of the UCITS host member state or into a language approved by the competent authorities of that member state.</w:t>
            </w:r>
          </w:p>
          <w:p w:rsidR="001B0AEE" w:rsidRPr="001B0AEE" w:rsidRDefault="001B0AEE" w:rsidP="001B0AEE">
            <w:pPr>
              <w:autoSpaceDE w:val="0"/>
              <w:autoSpaceDN w:val="0"/>
              <w:adjustRightInd w:val="0"/>
              <w:spacing w:after="0" w:line="240" w:lineRule="auto"/>
              <w:jc w:val="both"/>
              <w:rPr>
                <w:rFonts w:cstheme="minorHAnsi"/>
              </w:rPr>
            </w:pPr>
          </w:p>
        </w:tc>
        <w:tc>
          <w:tcPr>
            <w:tcW w:w="1276" w:type="dxa"/>
          </w:tcPr>
          <w:p w:rsidR="00312F27" w:rsidRPr="001B0AEE" w:rsidRDefault="00312F27" w:rsidP="00BB3786">
            <w:pPr>
              <w:autoSpaceDE w:val="0"/>
              <w:autoSpaceDN w:val="0"/>
              <w:adjustRightInd w:val="0"/>
              <w:spacing w:after="0" w:line="240" w:lineRule="auto"/>
              <w:jc w:val="both"/>
              <w:rPr>
                <w:rFonts w:cstheme="minorHAnsi"/>
              </w:rPr>
            </w:pPr>
          </w:p>
        </w:tc>
        <w:tc>
          <w:tcPr>
            <w:tcW w:w="1559" w:type="dxa"/>
          </w:tcPr>
          <w:p w:rsidR="00312F27" w:rsidRPr="001B0AEE" w:rsidRDefault="00312F27" w:rsidP="00BB3786">
            <w:pPr>
              <w:autoSpaceDE w:val="0"/>
              <w:autoSpaceDN w:val="0"/>
              <w:adjustRightInd w:val="0"/>
              <w:spacing w:after="0" w:line="240" w:lineRule="auto"/>
              <w:jc w:val="both"/>
              <w:rPr>
                <w:rFonts w:cstheme="minorHAnsi"/>
              </w:rPr>
            </w:pPr>
          </w:p>
        </w:tc>
        <w:tc>
          <w:tcPr>
            <w:tcW w:w="1560" w:type="dxa"/>
          </w:tcPr>
          <w:p w:rsidR="00312F27" w:rsidRPr="001B0AEE" w:rsidRDefault="00312F27" w:rsidP="00BB3786">
            <w:pPr>
              <w:autoSpaceDE w:val="0"/>
              <w:autoSpaceDN w:val="0"/>
              <w:adjustRightInd w:val="0"/>
              <w:spacing w:after="0" w:line="240" w:lineRule="auto"/>
              <w:jc w:val="both"/>
              <w:rPr>
                <w:rFonts w:cstheme="minorHAnsi"/>
              </w:rPr>
            </w:pPr>
          </w:p>
        </w:tc>
      </w:tr>
      <w:tr w:rsidR="001B0AEE" w:rsidRPr="001B0AEE" w:rsidTr="0039191B">
        <w:trPr>
          <w:trHeight w:val="213"/>
        </w:trPr>
        <w:tc>
          <w:tcPr>
            <w:tcW w:w="5223" w:type="dxa"/>
          </w:tcPr>
          <w:p w:rsidR="001B0AEE" w:rsidRPr="001B0AEE" w:rsidRDefault="001B0AEE" w:rsidP="001B0AEE">
            <w:pPr>
              <w:autoSpaceDE w:val="0"/>
              <w:autoSpaceDN w:val="0"/>
              <w:adjustRightInd w:val="0"/>
              <w:spacing w:after="0" w:line="240" w:lineRule="auto"/>
              <w:jc w:val="both"/>
              <w:rPr>
                <w:rFonts w:cs="Times New Roman"/>
              </w:rPr>
            </w:pPr>
            <w:r w:rsidRPr="001B0AEE">
              <w:rPr>
                <w:rFonts w:cstheme="minorHAnsi"/>
              </w:rPr>
              <w:t xml:space="preserve">Section 62(3): </w:t>
            </w:r>
            <w:r w:rsidRPr="001B0AEE">
              <w:rPr>
                <w:rFonts w:cs="Times New Roman"/>
              </w:rPr>
              <w:t>Key investor information shall be delivered to the prospective investor before filing the subscription application in the UCITS and provide information on the following essential elements in respect of the UCITS concerned:</w:t>
            </w:r>
          </w:p>
          <w:p w:rsidR="001B0AEE" w:rsidRPr="001B0AEE" w:rsidRDefault="001B0AEE" w:rsidP="001B0AEE">
            <w:pPr>
              <w:autoSpaceDE w:val="0"/>
              <w:autoSpaceDN w:val="0"/>
              <w:adjustRightInd w:val="0"/>
              <w:spacing w:after="0" w:line="240" w:lineRule="auto"/>
              <w:jc w:val="both"/>
              <w:rPr>
                <w:rFonts w:cs="Times New Roman"/>
              </w:rPr>
            </w:pPr>
          </w:p>
          <w:p w:rsidR="001B0AEE" w:rsidRPr="001B0AEE" w:rsidRDefault="001B0AEE" w:rsidP="001B0AEE">
            <w:pPr>
              <w:autoSpaceDE w:val="0"/>
              <w:autoSpaceDN w:val="0"/>
              <w:adjustRightInd w:val="0"/>
              <w:spacing w:after="0" w:line="240" w:lineRule="auto"/>
              <w:jc w:val="both"/>
              <w:rPr>
                <w:rFonts w:cs="Times New Roman"/>
              </w:rPr>
            </w:pPr>
          </w:p>
          <w:tbl>
            <w:tblPr>
              <w:tblStyle w:val="TableGrid"/>
              <w:tblW w:w="6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108"/>
              <w:gridCol w:w="296"/>
              <w:gridCol w:w="108"/>
              <w:gridCol w:w="108"/>
              <w:gridCol w:w="5768"/>
              <w:gridCol w:w="108"/>
              <w:gridCol w:w="108"/>
            </w:tblGrid>
            <w:tr w:rsidR="001B0AEE" w:rsidRPr="001B0AEE" w:rsidTr="00B010BB">
              <w:trPr>
                <w:gridBefore w:val="2"/>
                <w:wBefore w:w="216" w:type="dxa"/>
              </w:trPr>
              <w:tc>
                <w:tcPr>
                  <w:tcW w:w="512" w:type="dxa"/>
                  <w:gridSpan w:val="3"/>
                </w:tcPr>
                <w:p w:rsidR="001B0AEE" w:rsidRPr="001B0AEE" w:rsidRDefault="001B0AEE" w:rsidP="00B010BB">
                  <w:pPr>
                    <w:tabs>
                      <w:tab w:val="left" w:pos="386"/>
                    </w:tabs>
                    <w:spacing w:line="276" w:lineRule="auto"/>
                    <w:jc w:val="both"/>
                    <w:rPr>
                      <w:rFonts w:cs="Times New Roman"/>
                    </w:rPr>
                  </w:pPr>
                  <w:r w:rsidRPr="001B0AEE">
                    <w:rPr>
                      <w:rFonts w:cs="Times New Roman"/>
                    </w:rPr>
                    <w:t>(a)</w:t>
                  </w:r>
                </w:p>
              </w:tc>
              <w:tc>
                <w:tcPr>
                  <w:tcW w:w="5984" w:type="dxa"/>
                  <w:gridSpan w:val="3"/>
                </w:tcPr>
                <w:p w:rsidR="001B0AEE" w:rsidRPr="001B0AEE" w:rsidRDefault="001B0AEE" w:rsidP="00B010BB">
                  <w:pPr>
                    <w:tabs>
                      <w:tab w:val="left" w:pos="386"/>
                    </w:tabs>
                    <w:spacing w:line="276" w:lineRule="auto"/>
                    <w:jc w:val="both"/>
                    <w:rPr>
                      <w:rFonts w:cs="Times New Roman"/>
                      <w:lang w:val="el-GR"/>
                    </w:rPr>
                  </w:pPr>
                  <w:r w:rsidRPr="001B0AEE">
                    <w:rPr>
                      <w:rFonts w:cs="Times New Roman"/>
                    </w:rPr>
                    <w:t xml:space="preserve">identification of the UCITS; </w:t>
                  </w:r>
                </w:p>
                <w:p w:rsidR="001B0AEE" w:rsidRPr="001B0AEE" w:rsidRDefault="001B0AEE" w:rsidP="00B010BB">
                  <w:pPr>
                    <w:tabs>
                      <w:tab w:val="left" w:pos="386"/>
                    </w:tabs>
                    <w:spacing w:line="276" w:lineRule="auto"/>
                    <w:jc w:val="both"/>
                    <w:rPr>
                      <w:rFonts w:cs="Times New Roman"/>
                      <w:lang w:val="el-GR"/>
                    </w:rPr>
                  </w:pPr>
                </w:p>
              </w:tc>
            </w:tr>
            <w:tr w:rsidR="001B0AEE" w:rsidRPr="001B0AEE" w:rsidTr="00B010BB">
              <w:trPr>
                <w:gridBefore w:val="1"/>
                <w:gridAfter w:val="1"/>
                <w:wBefore w:w="108" w:type="dxa"/>
                <w:wAfter w:w="108" w:type="dxa"/>
              </w:trPr>
              <w:tc>
                <w:tcPr>
                  <w:tcW w:w="512" w:type="dxa"/>
                  <w:gridSpan w:val="3"/>
                </w:tcPr>
                <w:p w:rsidR="001B0AEE" w:rsidRPr="001B0AEE" w:rsidRDefault="001B0AEE" w:rsidP="00B010BB">
                  <w:pPr>
                    <w:tabs>
                      <w:tab w:val="left" w:pos="386"/>
                    </w:tabs>
                    <w:spacing w:line="276" w:lineRule="auto"/>
                    <w:jc w:val="both"/>
                    <w:rPr>
                      <w:rFonts w:cs="Times New Roman"/>
                    </w:rPr>
                  </w:pPr>
                  <w:r w:rsidRPr="001B0AEE">
                    <w:rPr>
                      <w:rFonts w:cs="Times New Roman"/>
                    </w:rPr>
                    <w:t>(b)</w:t>
                  </w:r>
                </w:p>
              </w:tc>
              <w:tc>
                <w:tcPr>
                  <w:tcW w:w="5984" w:type="dxa"/>
                  <w:gridSpan w:val="3"/>
                </w:tcPr>
                <w:p w:rsidR="001B0AEE" w:rsidRPr="001B0AEE" w:rsidRDefault="001B0AEE" w:rsidP="00B010BB">
                  <w:pPr>
                    <w:tabs>
                      <w:tab w:val="left" w:pos="386"/>
                    </w:tabs>
                    <w:spacing w:line="276" w:lineRule="auto"/>
                    <w:jc w:val="both"/>
                    <w:rPr>
                      <w:rFonts w:cs="Times New Roman"/>
                    </w:rPr>
                  </w:pPr>
                  <w:r w:rsidRPr="001B0AEE">
                    <w:rPr>
                      <w:rFonts w:cs="Times New Roman"/>
                    </w:rPr>
                    <w:t xml:space="preserve">a short description of its investment </w:t>
                  </w:r>
                </w:p>
                <w:p w:rsidR="001B0AEE" w:rsidRPr="001B0AEE" w:rsidRDefault="001B0AEE" w:rsidP="00B010BB">
                  <w:pPr>
                    <w:tabs>
                      <w:tab w:val="left" w:pos="386"/>
                    </w:tabs>
                    <w:spacing w:line="276" w:lineRule="auto"/>
                    <w:jc w:val="both"/>
                    <w:rPr>
                      <w:rFonts w:cs="Times New Roman"/>
                    </w:rPr>
                  </w:pPr>
                  <w:r w:rsidRPr="001B0AEE">
                    <w:rPr>
                      <w:rFonts w:cs="Times New Roman"/>
                    </w:rPr>
                    <w:lastRenderedPageBreak/>
                    <w:t xml:space="preserve">objectives and investment policy; </w:t>
                  </w:r>
                </w:p>
              </w:tc>
            </w:tr>
            <w:tr w:rsidR="001B0AEE" w:rsidRPr="001B0AEE" w:rsidTr="00B010BB">
              <w:trPr>
                <w:gridAfter w:val="2"/>
                <w:wAfter w:w="216" w:type="dxa"/>
              </w:trPr>
              <w:tc>
                <w:tcPr>
                  <w:tcW w:w="512" w:type="dxa"/>
                  <w:gridSpan w:val="3"/>
                </w:tcPr>
                <w:p w:rsidR="001B0AEE" w:rsidRPr="001B0AEE" w:rsidRDefault="001B0AEE" w:rsidP="00B010BB">
                  <w:pPr>
                    <w:tabs>
                      <w:tab w:val="left" w:pos="386"/>
                    </w:tabs>
                    <w:spacing w:line="276" w:lineRule="auto"/>
                    <w:jc w:val="both"/>
                    <w:rPr>
                      <w:rFonts w:cs="Times New Roman"/>
                    </w:rPr>
                  </w:pPr>
                  <w:r w:rsidRPr="001B0AEE">
                    <w:rPr>
                      <w:rFonts w:cs="Times New Roman"/>
                    </w:rPr>
                    <w:lastRenderedPageBreak/>
                    <w:t>(c)</w:t>
                  </w:r>
                </w:p>
              </w:tc>
              <w:tc>
                <w:tcPr>
                  <w:tcW w:w="5984" w:type="dxa"/>
                  <w:gridSpan w:val="3"/>
                </w:tcPr>
                <w:p w:rsidR="001B0AEE" w:rsidRPr="001B0AEE" w:rsidRDefault="001B0AEE" w:rsidP="00B010BB">
                  <w:pPr>
                    <w:tabs>
                      <w:tab w:val="left" w:pos="386"/>
                    </w:tabs>
                    <w:spacing w:line="276" w:lineRule="auto"/>
                    <w:jc w:val="both"/>
                    <w:rPr>
                      <w:rFonts w:cs="Times New Roman"/>
                    </w:rPr>
                  </w:pPr>
                  <w:r w:rsidRPr="001B0AEE">
                    <w:rPr>
                      <w:rFonts w:cs="Times New Roman"/>
                    </w:rPr>
                    <w:t xml:space="preserve">past-performance presentation or, </w:t>
                  </w:r>
                </w:p>
                <w:p w:rsidR="001B0AEE" w:rsidRPr="001B0AEE" w:rsidRDefault="001B0AEE" w:rsidP="00B010BB">
                  <w:pPr>
                    <w:tabs>
                      <w:tab w:val="left" w:pos="386"/>
                    </w:tabs>
                    <w:spacing w:line="276" w:lineRule="auto"/>
                    <w:jc w:val="both"/>
                    <w:rPr>
                      <w:rFonts w:cs="Times New Roman"/>
                    </w:rPr>
                  </w:pPr>
                  <w:r w:rsidRPr="001B0AEE">
                    <w:rPr>
                      <w:rFonts w:cs="Times New Roman"/>
                    </w:rPr>
                    <w:t xml:space="preserve">where relevant, performance scenarios; </w:t>
                  </w:r>
                </w:p>
              </w:tc>
            </w:tr>
            <w:tr w:rsidR="001B0AEE" w:rsidRPr="001B0AEE" w:rsidTr="00B010BB">
              <w:trPr>
                <w:gridAfter w:val="2"/>
                <w:wAfter w:w="216" w:type="dxa"/>
              </w:trPr>
              <w:tc>
                <w:tcPr>
                  <w:tcW w:w="512" w:type="dxa"/>
                  <w:gridSpan w:val="3"/>
                </w:tcPr>
                <w:p w:rsidR="001B0AEE" w:rsidRPr="001B0AEE" w:rsidRDefault="001B0AEE" w:rsidP="00B010BB">
                  <w:pPr>
                    <w:keepNext/>
                    <w:keepLines/>
                    <w:tabs>
                      <w:tab w:val="left" w:pos="386"/>
                    </w:tabs>
                    <w:spacing w:line="276" w:lineRule="auto"/>
                    <w:jc w:val="both"/>
                    <w:outlineLvl w:val="2"/>
                    <w:rPr>
                      <w:rFonts w:cs="Times New Roman"/>
                    </w:rPr>
                  </w:pPr>
                </w:p>
              </w:tc>
              <w:tc>
                <w:tcPr>
                  <w:tcW w:w="5984" w:type="dxa"/>
                  <w:gridSpan w:val="3"/>
                </w:tcPr>
                <w:p w:rsidR="001B0AEE" w:rsidRPr="001B0AEE" w:rsidRDefault="001B0AEE" w:rsidP="00B010BB">
                  <w:pPr>
                    <w:keepNext/>
                    <w:keepLines/>
                    <w:tabs>
                      <w:tab w:val="left" w:pos="386"/>
                    </w:tabs>
                    <w:spacing w:line="276" w:lineRule="auto"/>
                    <w:jc w:val="both"/>
                    <w:outlineLvl w:val="2"/>
                    <w:rPr>
                      <w:rFonts w:cs="Times New Roman"/>
                    </w:rPr>
                  </w:pPr>
                </w:p>
              </w:tc>
            </w:tr>
            <w:tr w:rsidR="001B0AEE" w:rsidRPr="001B0AEE" w:rsidTr="00B010BB">
              <w:trPr>
                <w:gridAfter w:val="2"/>
                <w:wAfter w:w="216" w:type="dxa"/>
              </w:trPr>
              <w:tc>
                <w:tcPr>
                  <w:tcW w:w="512" w:type="dxa"/>
                  <w:gridSpan w:val="3"/>
                </w:tcPr>
                <w:p w:rsidR="001B0AEE" w:rsidRPr="001B0AEE" w:rsidRDefault="001B0AEE" w:rsidP="00B010BB">
                  <w:pPr>
                    <w:tabs>
                      <w:tab w:val="left" w:pos="386"/>
                    </w:tabs>
                    <w:spacing w:line="276" w:lineRule="auto"/>
                    <w:jc w:val="both"/>
                    <w:rPr>
                      <w:rFonts w:cs="Times New Roman"/>
                    </w:rPr>
                  </w:pPr>
                  <w:r w:rsidRPr="001B0AEE">
                    <w:rPr>
                      <w:rFonts w:cs="Times New Roman"/>
                    </w:rPr>
                    <w:t>(d)</w:t>
                  </w:r>
                </w:p>
              </w:tc>
              <w:tc>
                <w:tcPr>
                  <w:tcW w:w="5984" w:type="dxa"/>
                  <w:gridSpan w:val="3"/>
                </w:tcPr>
                <w:p w:rsidR="001B0AEE" w:rsidRPr="001B0AEE" w:rsidRDefault="001B0AEE" w:rsidP="00B010BB">
                  <w:pPr>
                    <w:tabs>
                      <w:tab w:val="left" w:pos="386"/>
                    </w:tabs>
                    <w:spacing w:line="276" w:lineRule="auto"/>
                    <w:jc w:val="both"/>
                    <w:rPr>
                      <w:rFonts w:cs="Times New Roman"/>
                    </w:rPr>
                  </w:pPr>
                  <w:r w:rsidRPr="001B0AEE">
                    <w:rPr>
                      <w:rFonts w:cs="Times New Roman"/>
                    </w:rPr>
                    <w:t xml:space="preserve">costs and associated charges; and </w:t>
                  </w:r>
                </w:p>
              </w:tc>
            </w:tr>
            <w:tr w:rsidR="001B0AEE" w:rsidRPr="001B0AEE" w:rsidTr="00B010BB">
              <w:trPr>
                <w:gridAfter w:val="2"/>
                <w:wAfter w:w="216" w:type="dxa"/>
              </w:trPr>
              <w:tc>
                <w:tcPr>
                  <w:tcW w:w="512" w:type="dxa"/>
                  <w:gridSpan w:val="3"/>
                </w:tcPr>
                <w:p w:rsidR="001B0AEE" w:rsidRPr="001B0AEE" w:rsidRDefault="001B0AEE" w:rsidP="00B010BB">
                  <w:pPr>
                    <w:keepNext/>
                    <w:keepLines/>
                    <w:tabs>
                      <w:tab w:val="left" w:pos="386"/>
                    </w:tabs>
                    <w:spacing w:line="276" w:lineRule="auto"/>
                    <w:jc w:val="both"/>
                    <w:outlineLvl w:val="2"/>
                    <w:rPr>
                      <w:rFonts w:cs="Times New Roman"/>
                    </w:rPr>
                  </w:pPr>
                </w:p>
              </w:tc>
              <w:tc>
                <w:tcPr>
                  <w:tcW w:w="5984" w:type="dxa"/>
                  <w:gridSpan w:val="3"/>
                </w:tcPr>
                <w:p w:rsidR="001B0AEE" w:rsidRPr="001B0AEE" w:rsidRDefault="001B0AEE" w:rsidP="00B010BB">
                  <w:pPr>
                    <w:keepNext/>
                    <w:keepLines/>
                    <w:tabs>
                      <w:tab w:val="left" w:pos="386"/>
                    </w:tabs>
                    <w:spacing w:line="276" w:lineRule="auto"/>
                    <w:jc w:val="both"/>
                    <w:outlineLvl w:val="2"/>
                    <w:rPr>
                      <w:rFonts w:cs="Times New Roman"/>
                    </w:rPr>
                  </w:pPr>
                </w:p>
              </w:tc>
            </w:tr>
            <w:tr w:rsidR="001B0AEE" w:rsidRPr="001B0AEE" w:rsidTr="00B010BB">
              <w:trPr>
                <w:gridAfter w:val="2"/>
                <w:wAfter w:w="216" w:type="dxa"/>
                <w:trHeight w:val="80"/>
              </w:trPr>
              <w:tc>
                <w:tcPr>
                  <w:tcW w:w="512" w:type="dxa"/>
                  <w:gridSpan w:val="3"/>
                </w:tcPr>
                <w:p w:rsidR="001B0AEE" w:rsidRPr="001B0AEE" w:rsidRDefault="001B0AEE" w:rsidP="00B010BB">
                  <w:pPr>
                    <w:tabs>
                      <w:tab w:val="left" w:pos="386"/>
                    </w:tabs>
                    <w:spacing w:line="276" w:lineRule="auto"/>
                    <w:jc w:val="both"/>
                    <w:rPr>
                      <w:rFonts w:cs="Times New Roman"/>
                    </w:rPr>
                  </w:pPr>
                  <w:r w:rsidRPr="001B0AEE">
                    <w:rPr>
                      <w:rFonts w:cs="Times New Roman"/>
                    </w:rPr>
                    <w:t>(e)</w:t>
                  </w:r>
                </w:p>
              </w:tc>
              <w:tc>
                <w:tcPr>
                  <w:tcW w:w="5984" w:type="dxa"/>
                  <w:gridSpan w:val="3"/>
                </w:tcPr>
                <w:p w:rsidR="001B0AEE" w:rsidRPr="001B0AEE" w:rsidRDefault="001B0AEE" w:rsidP="00B010BB">
                  <w:pPr>
                    <w:tabs>
                      <w:tab w:val="left" w:pos="386"/>
                    </w:tabs>
                    <w:spacing w:line="276" w:lineRule="auto"/>
                    <w:jc w:val="both"/>
                    <w:rPr>
                      <w:rFonts w:cs="Times New Roman"/>
                    </w:rPr>
                  </w:pPr>
                  <w:r w:rsidRPr="001B0AEE">
                    <w:rPr>
                      <w:rFonts w:cs="Times New Roman"/>
                    </w:rPr>
                    <w:t xml:space="preserve">risk/reward profile of the investment, </w:t>
                  </w:r>
                </w:p>
                <w:p w:rsidR="009825A2" w:rsidRDefault="001B0AEE" w:rsidP="00B010BB">
                  <w:pPr>
                    <w:tabs>
                      <w:tab w:val="left" w:pos="386"/>
                    </w:tabs>
                    <w:spacing w:line="276" w:lineRule="auto"/>
                    <w:jc w:val="both"/>
                    <w:rPr>
                      <w:rFonts w:cs="Times New Roman"/>
                    </w:rPr>
                  </w:pPr>
                  <w:r w:rsidRPr="001B0AEE">
                    <w:rPr>
                      <w:rFonts w:cs="Times New Roman"/>
                    </w:rPr>
                    <w:t>including appropriate guidance and warnings in</w:t>
                  </w:r>
                </w:p>
                <w:p w:rsidR="009825A2" w:rsidRDefault="001B0AEE" w:rsidP="00B010BB">
                  <w:pPr>
                    <w:tabs>
                      <w:tab w:val="left" w:pos="386"/>
                    </w:tabs>
                    <w:spacing w:line="276" w:lineRule="auto"/>
                    <w:jc w:val="both"/>
                    <w:rPr>
                      <w:rFonts w:cs="Times New Roman"/>
                    </w:rPr>
                  </w:pPr>
                  <w:r w:rsidRPr="001B0AEE">
                    <w:rPr>
                      <w:rFonts w:cs="Times New Roman"/>
                    </w:rPr>
                    <w:t xml:space="preserve"> relation to the risks associated with investments</w:t>
                  </w:r>
                </w:p>
                <w:p w:rsidR="001B0AEE" w:rsidRPr="001B0AEE" w:rsidRDefault="001B0AEE" w:rsidP="00B010BB">
                  <w:pPr>
                    <w:tabs>
                      <w:tab w:val="left" w:pos="386"/>
                    </w:tabs>
                    <w:spacing w:line="276" w:lineRule="auto"/>
                    <w:jc w:val="both"/>
                    <w:rPr>
                      <w:rFonts w:cs="Times New Roman"/>
                    </w:rPr>
                  </w:pPr>
                  <w:r w:rsidRPr="001B0AEE">
                    <w:rPr>
                      <w:rFonts w:cs="Times New Roman"/>
                    </w:rPr>
                    <w:t xml:space="preserve"> </w:t>
                  </w:r>
                  <w:proofErr w:type="gramStart"/>
                  <w:r w:rsidRPr="001B0AEE">
                    <w:rPr>
                      <w:rFonts w:cs="Times New Roman"/>
                    </w:rPr>
                    <w:t>in</w:t>
                  </w:r>
                  <w:proofErr w:type="gramEnd"/>
                  <w:r w:rsidRPr="001B0AEE">
                    <w:rPr>
                      <w:rFonts w:cs="Times New Roman"/>
                    </w:rPr>
                    <w:t xml:space="preserve"> the relevant UCITS. </w:t>
                  </w:r>
                </w:p>
              </w:tc>
            </w:tr>
          </w:tbl>
          <w:p w:rsidR="001B0AEE" w:rsidRPr="001B0AEE" w:rsidRDefault="001B0AEE" w:rsidP="00E86CE3">
            <w:pPr>
              <w:autoSpaceDE w:val="0"/>
              <w:autoSpaceDN w:val="0"/>
              <w:adjustRightInd w:val="0"/>
              <w:spacing w:after="0" w:line="240" w:lineRule="auto"/>
              <w:jc w:val="both"/>
              <w:rPr>
                <w:rFonts w:cstheme="minorHAnsi"/>
              </w:rPr>
            </w:pPr>
          </w:p>
        </w:tc>
        <w:tc>
          <w:tcPr>
            <w:tcW w:w="1276" w:type="dxa"/>
          </w:tcPr>
          <w:p w:rsidR="001B0AEE" w:rsidRPr="001B0AEE" w:rsidRDefault="001B0AEE" w:rsidP="00BB3786">
            <w:pPr>
              <w:autoSpaceDE w:val="0"/>
              <w:autoSpaceDN w:val="0"/>
              <w:adjustRightInd w:val="0"/>
              <w:spacing w:after="0" w:line="240" w:lineRule="auto"/>
              <w:jc w:val="both"/>
              <w:rPr>
                <w:rFonts w:cstheme="minorHAnsi"/>
              </w:rPr>
            </w:pPr>
          </w:p>
        </w:tc>
        <w:tc>
          <w:tcPr>
            <w:tcW w:w="1559" w:type="dxa"/>
          </w:tcPr>
          <w:p w:rsidR="001B0AEE" w:rsidRPr="001B0AEE" w:rsidRDefault="001B0AEE" w:rsidP="00BB3786">
            <w:pPr>
              <w:autoSpaceDE w:val="0"/>
              <w:autoSpaceDN w:val="0"/>
              <w:adjustRightInd w:val="0"/>
              <w:spacing w:after="0" w:line="240" w:lineRule="auto"/>
              <w:jc w:val="both"/>
              <w:rPr>
                <w:rFonts w:cstheme="minorHAnsi"/>
              </w:rPr>
            </w:pPr>
          </w:p>
        </w:tc>
        <w:tc>
          <w:tcPr>
            <w:tcW w:w="1560" w:type="dxa"/>
          </w:tcPr>
          <w:p w:rsidR="001B0AEE" w:rsidRPr="001B0AEE" w:rsidRDefault="001B0AEE" w:rsidP="00BB3786">
            <w:pPr>
              <w:autoSpaceDE w:val="0"/>
              <w:autoSpaceDN w:val="0"/>
              <w:adjustRightInd w:val="0"/>
              <w:spacing w:after="0" w:line="240" w:lineRule="auto"/>
              <w:jc w:val="both"/>
              <w:rPr>
                <w:rFonts w:cstheme="minorHAnsi"/>
              </w:rPr>
            </w:pPr>
          </w:p>
        </w:tc>
      </w:tr>
      <w:tr w:rsidR="001B0AEE" w:rsidRPr="001B0AEE" w:rsidTr="0039191B">
        <w:trPr>
          <w:trHeight w:val="213"/>
        </w:trPr>
        <w:tc>
          <w:tcPr>
            <w:tcW w:w="5223" w:type="dxa"/>
          </w:tcPr>
          <w:p w:rsidR="001B0AEE" w:rsidRPr="001B0AEE" w:rsidRDefault="001B0AEE" w:rsidP="001B0AEE">
            <w:pPr>
              <w:autoSpaceDE w:val="0"/>
              <w:autoSpaceDN w:val="0"/>
              <w:adjustRightInd w:val="0"/>
              <w:spacing w:after="0" w:line="240" w:lineRule="auto"/>
              <w:jc w:val="both"/>
              <w:rPr>
                <w:rFonts w:cstheme="minorHAnsi"/>
              </w:rPr>
            </w:pPr>
            <w:r w:rsidRPr="001B0AEE">
              <w:rPr>
                <w:rFonts w:cstheme="minorHAnsi"/>
              </w:rPr>
              <w:lastRenderedPageBreak/>
              <w:t xml:space="preserve">Section 62(4): </w:t>
            </w:r>
            <w:r w:rsidRPr="001B0AEE">
              <w:rPr>
                <w:rFonts w:cs="Times New Roman"/>
              </w:rPr>
              <w:t>Key investor information:</w:t>
            </w:r>
          </w:p>
          <w:p w:rsidR="001B0AEE" w:rsidRPr="001B0AEE" w:rsidRDefault="001B0AEE" w:rsidP="001B0AEE">
            <w:pPr>
              <w:autoSpaceDE w:val="0"/>
              <w:autoSpaceDN w:val="0"/>
              <w:adjustRightInd w:val="0"/>
              <w:spacing w:after="0" w:line="240" w:lineRule="auto"/>
              <w:jc w:val="both"/>
              <w:rPr>
                <w:rFonts w:cstheme="minorHAnsi"/>
              </w:rPr>
            </w:pPr>
          </w:p>
          <w:p w:rsidR="001B0AEE" w:rsidRPr="001B0AEE" w:rsidRDefault="001B0AEE" w:rsidP="001B0AEE">
            <w:pPr>
              <w:pStyle w:val="ListParagraph"/>
              <w:numPr>
                <w:ilvl w:val="0"/>
                <w:numId w:val="23"/>
              </w:numPr>
              <w:autoSpaceDE w:val="0"/>
              <w:autoSpaceDN w:val="0"/>
              <w:adjustRightInd w:val="0"/>
              <w:spacing w:after="0" w:line="240" w:lineRule="auto"/>
              <w:jc w:val="both"/>
              <w:rPr>
                <w:rFonts w:cs="Times New Roman"/>
              </w:rPr>
            </w:pPr>
            <w:r w:rsidRPr="001B0AEE">
              <w:rPr>
                <w:rFonts w:cs="Times New Roman"/>
              </w:rPr>
              <w:t>shall clearly indicate where and how to obtain additional information relating to the proposed investment, including but not limited to where and how the prospectus and the annual and half-yearly report can be obtained on request and free of charge at any time, and the language in which such information is available to investors and</w:t>
            </w:r>
          </w:p>
          <w:p w:rsidR="001B0AEE" w:rsidRPr="001B0AEE" w:rsidRDefault="001B0AEE" w:rsidP="001B0AEE">
            <w:pPr>
              <w:pStyle w:val="ListParagraph"/>
              <w:numPr>
                <w:ilvl w:val="0"/>
                <w:numId w:val="23"/>
              </w:numPr>
              <w:autoSpaceDE w:val="0"/>
              <w:autoSpaceDN w:val="0"/>
              <w:adjustRightInd w:val="0"/>
              <w:spacing w:after="0" w:line="240" w:lineRule="auto"/>
              <w:jc w:val="both"/>
              <w:rPr>
                <w:rFonts w:cs="Times New Roman"/>
              </w:rPr>
            </w:pPr>
            <w:proofErr w:type="gramStart"/>
            <w:r w:rsidRPr="001B0AEE">
              <w:rPr>
                <w:rFonts w:cs="Times New Roman"/>
              </w:rPr>
              <w:t>shall</w:t>
            </w:r>
            <w:proofErr w:type="gramEnd"/>
            <w:r w:rsidRPr="001B0AEE">
              <w:rPr>
                <w:rFonts w:cs="Times New Roman"/>
              </w:rPr>
              <w:t xml:space="preserve"> include a clear warning that a person does not incur civil liability solely on the basis of the key investor information, including any translation thereof, unless it is misleading, inaccurate or inconsistent with the relevant parts of the prospectus of the UCITS.</w:t>
            </w:r>
          </w:p>
          <w:p w:rsidR="001B0AEE" w:rsidRPr="001B0AEE" w:rsidRDefault="001B0AEE" w:rsidP="00E86CE3">
            <w:pPr>
              <w:autoSpaceDE w:val="0"/>
              <w:autoSpaceDN w:val="0"/>
              <w:adjustRightInd w:val="0"/>
              <w:spacing w:after="0" w:line="240" w:lineRule="auto"/>
              <w:jc w:val="both"/>
              <w:rPr>
                <w:rFonts w:cstheme="minorHAnsi"/>
              </w:rPr>
            </w:pPr>
          </w:p>
        </w:tc>
        <w:tc>
          <w:tcPr>
            <w:tcW w:w="1276" w:type="dxa"/>
          </w:tcPr>
          <w:p w:rsidR="001B0AEE" w:rsidRPr="001B0AEE" w:rsidRDefault="001B0AEE" w:rsidP="00BB3786">
            <w:pPr>
              <w:autoSpaceDE w:val="0"/>
              <w:autoSpaceDN w:val="0"/>
              <w:adjustRightInd w:val="0"/>
              <w:spacing w:after="0" w:line="240" w:lineRule="auto"/>
              <w:jc w:val="both"/>
              <w:rPr>
                <w:rFonts w:cstheme="minorHAnsi"/>
              </w:rPr>
            </w:pPr>
          </w:p>
        </w:tc>
        <w:tc>
          <w:tcPr>
            <w:tcW w:w="1559" w:type="dxa"/>
          </w:tcPr>
          <w:p w:rsidR="001B0AEE" w:rsidRPr="001B0AEE" w:rsidRDefault="001B0AEE" w:rsidP="00BB3786">
            <w:pPr>
              <w:autoSpaceDE w:val="0"/>
              <w:autoSpaceDN w:val="0"/>
              <w:adjustRightInd w:val="0"/>
              <w:spacing w:after="0" w:line="240" w:lineRule="auto"/>
              <w:jc w:val="both"/>
              <w:rPr>
                <w:rFonts w:cstheme="minorHAnsi"/>
              </w:rPr>
            </w:pPr>
          </w:p>
        </w:tc>
        <w:tc>
          <w:tcPr>
            <w:tcW w:w="1560" w:type="dxa"/>
          </w:tcPr>
          <w:p w:rsidR="001B0AEE" w:rsidRPr="001B0AEE" w:rsidRDefault="001B0AEE" w:rsidP="00BB3786">
            <w:pPr>
              <w:autoSpaceDE w:val="0"/>
              <w:autoSpaceDN w:val="0"/>
              <w:adjustRightInd w:val="0"/>
              <w:spacing w:after="0" w:line="240" w:lineRule="auto"/>
              <w:jc w:val="both"/>
              <w:rPr>
                <w:rFonts w:cstheme="minorHAnsi"/>
              </w:rPr>
            </w:pPr>
          </w:p>
        </w:tc>
      </w:tr>
      <w:tr w:rsidR="0042217F" w:rsidRPr="001B0AEE" w:rsidTr="0039191B">
        <w:trPr>
          <w:trHeight w:val="213"/>
        </w:trPr>
        <w:tc>
          <w:tcPr>
            <w:tcW w:w="5223" w:type="dxa"/>
          </w:tcPr>
          <w:p w:rsidR="0042217F" w:rsidRPr="001B0AEE" w:rsidRDefault="00661CD8" w:rsidP="00E86CE3">
            <w:pPr>
              <w:autoSpaceDE w:val="0"/>
              <w:autoSpaceDN w:val="0"/>
              <w:adjustRightInd w:val="0"/>
              <w:spacing w:after="0" w:line="240" w:lineRule="auto"/>
              <w:jc w:val="both"/>
              <w:rPr>
                <w:rFonts w:cstheme="minorHAnsi"/>
              </w:rPr>
            </w:pPr>
            <w:r w:rsidRPr="001B0AEE">
              <w:rPr>
                <w:rFonts w:cstheme="minorHAnsi"/>
              </w:rPr>
              <w:t>Section 115(1</w:t>
            </w:r>
            <w:proofErr w:type="gramStart"/>
            <w:r w:rsidRPr="001B0AEE">
              <w:rPr>
                <w:rFonts w:cstheme="minorHAnsi"/>
              </w:rPr>
              <w:t>)(</w:t>
            </w:r>
            <w:proofErr w:type="gramEnd"/>
            <w:r w:rsidRPr="001B0AEE">
              <w:rPr>
                <w:rFonts w:cstheme="minorHAnsi"/>
              </w:rPr>
              <w:t>f</w:t>
            </w:r>
            <w:r w:rsidR="0042217F" w:rsidRPr="001B0AEE">
              <w:rPr>
                <w:rFonts w:cstheme="minorHAnsi"/>
              </w:rPr>
              <w:t>):</w:t>
            </w:r>
            <w:r w:rsidR="001B0AEE" w:rsidRPr="001B0AEE">
              <w:rPr>
                <w:rFonts w:cstheme="minorHAnsi"/>
              </w:rPr>
              <w:t xml:space="preserve"> </w:t>
            </w:r>
            <w:r w:rsidR="001B0AEE" w:rsidRPr="001B0AEE">
              <w:rPr>
                <w:rFonts w:cs="Times New Roman"/>
              </w:rPr>
              <w:t>The UCITS prospectus and the key investor information refer to the functions which are delegated according to the present section.</w:t>
            </w:r>
          </w:p>
          <w:p w:rsidR="00CF489F" w:rsidRPr="001B0AEE" w:rsidRDefault="00CF489F" w:rsidP="00E86CE3">
            <w:pPr>
              <w:autoSpaceDE w:val="0"/>
              <w:autoSpaceDN w:val="0"/>
              <w:adjustRightInd w:val="0"/>
              <w:spacing w:after="0" w:line="240" w:lineRule="auto"/>
              <w:jc w:val="both"/>
              <w:rPr>
                <w:rFonts w:cstheme="minorHAnsi"/>
                <w:b/>
              </w:rPr>
            </w:pPr>
          </w:p>
        </w:tc>
        <w:tc>
          <w:tcPr>
            <w:tcW w:w="1276" w:type="dxa"/>
          </w:tcPr>
          <w:p w:rsidR="0042217F" w:rsidRPr="001B0AEE" w:rsidRDefault="0042217F" w:rsidP="00BB3786">
            <w:pPr>
              <w:autoSpaceDE w:val="0"/>
              <w:autoSpaceDN w:val="0"/>
              <w:adjustRightInd w:val="0"/>
              <w:spacing w:after="0" w:line="240" w:lineRule="auto"/>
              <w:jc w:val="both"/>
              <w:rPr>
                <w:rFonts w:cstheme="minorHAnsi"/>
              </w:rPr>
            </w:pPr>
          </w:p>
        </w:tc>
        <w:tc>
          <w:tcPr>
            <w:tcW w:w="1559" w:type="dxa"/>
          </w:tcPr>
          <w:p w:rsidR="0042217F" w:rsidRPr="001B0AEE" w:rsidRDefault="0042217F" w:rsidP="00BB3786">
            <w:pPr>
              <w:autoSpaceDE w:val="0"/>
              <w:autoSpaceDN w:val="0"/>
              <w:adjustRightInd w:val="0"/>
              <w:spacing w:after="0" w:line="240" w:lineRule="auto"/>
              <w:jc w:val="both"/>
              <w:rPr>
                <w:rFonts w:cstheme="minorHAnsi"/>
              </w:rPr>
            </w:pPr>
          </w:p>
        </w:tc>
        <w:tc>
          <w:tcPr>
            <w:tcW w:w="1560" w:type="dxa"/>
          </w:tcPr>
          <w:p w:rsidR="0042217F" w:rsidRPr="001B0AEE" w:rsidRDefault="0042217F" w:rsidP="00BB3786">
            <w:pPr>
              <w:autoSpaceDE w:val="0"/>
              <w:autoSpaceDN w:val="0"/>
              <w:adjustRightInd w:val="0"/>
              <w:spacing w:after="0" w:line="240" w:lineRule="auto"/>
              <w:jc w:val="both"/>
              <w:rPr>
                <w:rFonts w:cstheme="minorHAnsi"/>
              </w:rPr>
            </w:pPr>
          </w:p>
        </w:tc>
      </w:tr>
    </w:tbl>
    <w:p w:rsidR="008935DF" w:rsidRDefault="008935DF">
      <w:r>
        <w:br w:type="page"/>
      </w:r>
    </w:p>
    <w:tbl>
      <w:tblPr>
        <w:tblpPr w:leftFromText="180" w:rightFromText="180" w:vertAnchor="text" w:horzAnchor="margin" w:tblpY="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276"/>
        <w:gridCol w:w="1559"/>
        <w:gridCol w:w="1560"/>
      </w:tblGrid>
      <w:tr w:rsidR="009C32DF" w:rsidRPr="008935DF" w:rsidTr="0039191B">
        <w:trPr>
          <w:trHeight w:val="600"/>
        </w:trPr>
        <w:tc>
          <w:tcPr>
            <w:tcW w:w="5211" w:type="dxa"/>
          </w:tcPr>
          <w:p w:rsidR="009C32DF" w:rsidRPr="008935DF" w:rsidRDefault="00F26BA0" w:rsidP="00117359">
            <w:pPr>
              <w:autoSpaceDE w:val="0"/>
              <w:autoSpaceDN w:val="0"/>
              <w:adjustRightInd w:val="0"/>
              <w:spacing w:after="0" w:line="240" w:lineRule="auto"/>
              <w:jc w:val="both"/>
              <w:rPr>
                <w:rFonts w:cstheme="minorHAnsi"/>
                <w:b/>
                <w:lang w:val="en-GB"/>
              </w:rPr>
            </w:pPr>
            <w:bookmarkStart w:id="0" w:name="_GoBack"/>
            <w:r w:rsidRPr="008935DF">
              <w:rPr>
                <w:rFonts w:cstheme="minorHAnsi"/>
                <w:b/>
              </w:rPr>
              <w:lastRenderedPageBreak/>
              <w:t>II</w:t>
            </w:r>
            <w:r w:rsidRPr="008935DF">
              <w:rPr>
                <w:rFonts w:cstheme="minorHAnsi"/>
                <w:b/>
                <w:lang w:val="en-GB"/>
              </w:rPr>
              <w:t xml:space="preserve">. </w:t>
            </w:r>
            <w:r w:rsidR="00D226D6" w:rsidRPr="008935DF">
              <w:rPr>
                <w:rFonts w:cstheme="minorHAnsi"/>
                <w:b/>
                <w:lang w:val="en-GB"/>
              </w:rPr>
              <w:t>Additional information to be included in the Key Investor Information Document based on Directives of the Commission</w:t>
            </w:r>
          </w:p>
          <w:p w:rsidR="00CF489F" w:rsidRPr="008935DF" w:rsidRDefault="00CF489F" w:rsidP="00117359">
            <w:pPr>
              <w:autoSpaceDE w:val="0"/>
              <w:autoSpaceDN w:val="0"/>
              <w:adjustRightInd w:val="0"/>
              <w:spacing w:after="0" w:line="240" w:lineRule="auto"/>
              <w:jc w:val="both"/>
              <w:rPr>
                <w:rFonts w:cstheme="minorHAnsi"/>
                <w:b/>
                <w:lang w:val="en-GB"/>
              </w:rPr>
            </w:pPr>
          </w:p>
        </w:tc>
        <w:tc>
          <w:tcPr>
            <w:tcW w:w="1276" w:type="dxa"/>
          </w:tcPr>
          <w:p w:rsidR="009C32DF" w:rsidRPr="008935DF" w:rsidRDefault="00D226D6" w:rsidP="00117359">
            <w:pPr>
              <w:autoSpaceDE w:val="0"/>
              <w:autoSpaceDN w:val="0"/>
              <w:adjustRightInd w:val="0"/>
              <w:spacing w:after="0" w:line="240" w:lineRule="auto"/>
              <w:jc w:val="center"/>
              <w:rPr>
                <w:rFonts w:cstheme="minorHAnsi"/>
                <w:b/>
              </w:rPr>
            </w:pPr>
            <w:r w:rsidRPr="008935DF">
              <w:rPr>
                <w:rFonts w:cstheme="minorHAnsi"/>
                <w:b/>
              </w:rPr>
              <w:t>Page</w:t>
            </w:r>
          </w:p>
        </w:tc>
        <w:tc>
          <w:tcPr>
            <w:tcW w:w="1559" w:type="dxa"/>
          </w:tcPr>
          <w:p w:rsidR="009C32DF" w:rsidRPr="008935DF" w:rsidRDefault="00D226D6" w:rsidP="00D226D6">
            <w:pPr>
              <w:autoSpaceDE w:val="0"/>
              <w:autoSpaceDN w:val="0"/>
              <w:adjustRightInd w:val="0"/>
              <w:spacing w:after="0" w:line="240" w:lineRule="auto"/>
              <w:jc w:val="center"/>
              <w:rPr>
                <w:rFonts w:cstheme="minorHAnsi"/>
                <w:b/>
              </w:rPr>
            </w:pPr>
            <w:r w:rsidRPr="008935DF">
              <w:rPr>
                <w:rFonts w:cstheme="minorHAnsi"/>
                <w:b/>
              </w:rPr>
              <w:t>Paragraph</w:t>
            </w:r>
          </w:p>
        </w:tc>
        <w:tc>
          <w:tcPr>
            <w:tcW w:w="1560" w:type="dxa"/>
          </w:tcPr>
          <w:p w:rsidR="009C32DF" w:rsidRPr="008935DF" w:rsidRDefault="00D226D6" w:rsidP="00117359">
            <w:pPr>
              <w:autoSpaceDE w:val="0"/>
              <w:autoSpaceDN w:val="0"/>
              <w:adjustRightInd w:val="0"/>
              <w:spacing w:after="0" w:line="240" w:lineRule="auto"/>
              <w:jc w:val="center"/>
              <w:rPr>
                <w:rFonts w:cstheme="minorHAnsi"/>
                <w:b/>
              </w:rPr>
            </w:pPr>
            <w:r w:rsidRPr="008935DF">
              <w:rPr>
                <w:rFonts w:cstheme="minorHAnsi"/>
                <w:b/>
              </w:rPr>
              <w:t>For official use</w:t>
            </w:r>
          </w:p>
        </w:tc>
      </w:tr>
      <w:tr w:rsidR="009C32DF" w:rsidRPr="008935DF" w:rsidTr="0039191B">
        <w:trPr>
          <w:trHeight w:val="600"/>
        </w:trPr>
        <w:tc>
          <w:tcPr>
            <w:tcW w:w="5211" w:type="dxa"/>
          </w:tcPr>
          <w:p w:rsidR="009C32DF" w:rsidRPr="008935DF" w:rsidRDefault="00661CD8" w:rsidP="00661CD8">
            <w:pPr>
              <w:autoSpaceDE w:val="0"/>
              <w:autoSpaceDN w:val="0"/>
              <w:adjustRightInd w:val="0"/>
              <w:spacing w:after="0" w:line="240" w:lineRule="auto"/>
              <w:jc w:val="both"/>
              <w:rPr>
                <w:rFonts w:cs="Calibri"/>
                <w:u w:val="single"/>
              </w:rPr>
            </w:pPr>
            <w:r w:rsidRPr="008935DF">
              <w:rPr>
                <w:rFonts w:eastAsia="Calibri" w:cs="Calibri"/>
                <w:u w:val="single"/>
              </w:rPr>
              <w:t>Directive DI7</w:t>
            </w:r>
            <w:r w:rsidR="00BC7DC8" w:rsidRPr="008935DF">
              <w:rPr>
                <w:rFonts w:eastAsia="Calibri" w:cs="Calibri"/>
                <w:u w:val="single"/>
              </w:rPr>
              <w:t>8-2012-13</w:t>
            </w:r>
            <w:r w:rsidRPr="008935DF">
              <w:rPr>
                <w:rFonts w:eastAsia="Calibri" w:cs="Calibri"/>
                <w:u w:val="single"/>
              </w:rPr>
              <w:t xml:space="preserve"> for eligible investments of UCITS</w:t>
            </w:r>
          </w:p>
        </w:tc>
        <w:tc>
          <w:tcPr>
            <w:tcW w:w="1276" w:type="dxa"/>
          </w:tcPr>
          <w:p w:rsidR="009C32DF" w:rsidRPr="008935DF" w:rsidRDefault="009C32DF" w:rsidP="00117359">
            <w:pPr>
              <w:autoSpaceDE w:val="0"/>
              <w:autoSpaceDN w:val="0"/>
              <w:adjustRightInd w:val="0"/>
              <w:spacing w:after="0" w:line="240" w:lineRule="auto"/>
              <w:jc w:val="center"/>
              <w:rPr>
                <w:rFonts w:cstheme="minorHAnsi"/>
                <w:b/>
              </w:rPr>
            </w:pPr>
          </w:p>
        </w:tc>
        <w:tc>
          <w:tcPr>
            <w:tcW w:w="1559" w:type="dxa"/>
          </w:tcPr>
          <w:p w:rsidR="009C32DF" w:rsidRPr="008935DF" w:rsidRDefault="009C32DF" w:rsidP="00117359">
            <w:pPr>
              <w:autoSpaceDE w:val="0"/>
              <w:autoSpaceDN w:val="0"/>
              <w:adjustRightInd w:val="0"/>
              <w:spacing w:after="0" w:line="240" w:lineRule="auto"/>
              <w:jc w:val="center"/>
              <w:rPr>
                <w:rFonts w:cstheme="minorHAnsi"/>
                <w:b/>
              </w:rPr>
            </w:pPr>
          </w:p>
        </w:tc>
        <w:tc>
          <w:tcPr>
            <w:tcW w:w="1560" w:type="dxa"/>
          </w:tcPr>
          <w:p w:rsidR="009C32DF" w:rsidRPr="008935DF" w:rsidRDefault="009C32DF" w:rsidP="00117359">
            <w:pPr>
              <w:autoSpaceDE w:val="0"/>
              <w:autoSpaceDN w:val="0"/>
              <w:adjustRightInd w:val="0"/>
              <w:spacing w:after="0" w:line="240" w:lineRule="auto"/>
              <w:jc w:val="center"/>
              <w:rPr>
                <w:rFonts w:cstheme="minorHAnsi"/>
                <w:b/>
              </w:rPr>
            </w:pPr>
          </w:p>
        </w:tc>
      </w:tr>
      <w:tr w:rsidR="009C32DF" w:rsidRPr="008935DF" w:rsidTr="0039191B">
        <w:trPr>
          <w:trHeight w:val="600"/>
        </w:trPr>
        <w:tc>
          <w:tcPr>
            <w:tcW w:w="5211" w:type="dxa"/>
          </w:tcPr>
          <w:p w:rsidR="009825A2" w:rsidRPr="008935DF" w:rsidRDefault="00661CD8" w:rsidP="009C32DF">
            <w:pPr>
              <w:pStyle w:val="BodyText"/>
              <w:jc w:val="both"/>
              <w:rPr>
                <w:rFonts w:asciiTheme="minorHAnsi" w:hAnsiTheme="minorHAnsi" w:cs="Calibri"/>
                <w:b w:val="0"/>
                <w:sz w:val="22"/>
                <w:szCs w:val="22"/>
              </w:rPr>
            </w:pPr>
            <w:r w:rsidRPr="008935DF">
              <w:rPr>
                <w:rFonts w:asciiTheme="minorHAnsi" w:hAnsiTheme="minorHAnsi" w:cs="Calibri"/>
                <w:b w:val="0"/>
                <w:sz w:val="22"/>
                <w:szCs w:val="22"/>
              </w:rPr>
              <w:t xml:space="preserve">Paragraph </w:t>
            </w:r>
            <w:r w:rsidR="009C32DF" w:rsidRPr="008935DF">
              <w:rPr>
                <w:rFonts w:asciiTheme="minorHAnsi" w:hAnsiTheme="minorHAnsi" w:cs="Calibri"/>
                <w:b w:val="0"/>
                <w:sz w:val="22"/>
                <w:szCs w:val="22"/>
              </w:rPr>
              <w:t>13(2).</w:t>
            </w:r>
            <w:r w:rsidR="008935DF" w:rsidRPr="008935DF">
              <w:rPr>
                <w:rFonts w:asciiTheme="minorHAnsi" w:hAnsiTheme="minorHAnsi" w:cs="Calibri"/>
                <w:b w:val="0"/>
                <w:sz w:val="22"/>
                <w:szCs w:val="22"/>
              </w:rPr>
              <w:t xml:space="preserve"> </w:t>
            </w:r>
            <w:r w:rsidR="009464DD" w:rsidRPr="008935DF">
              <w:rPr>
                <w:rFonts w:asciiTheme="minorHAnsi" w:hAnsiTheme="minorHAnsi"/>
                <w:b w:val="0"/>
                <w:sz w:val="22"/>
                <w:szCs w:val="22"/>
              </w:rPr>
              <w:t xml:space="preserve">The reference </w:t>
            </w:r>
            <w:r w:rsidR="008935DF" w:rsidRPr="008935DF">
              <w:rPr>
                <w:rFonts w:asciiTheme="minorHAnsi" w:hAnsiTheme="minorHAnsi"/>
                <w:b w:val="0"/>
                <w:sz w:val="22"/>
                <w:szCs w:val="22"/>
              </w:rPr>
              <w:t xml:space="preserve">in </w:t>
            </w:r>
            <w:r w:rsidR="009464DD" w:rsidRPr="008935DF">
              <w:rPr>
                <w:rFonts w:asciiTheme="minorHAnsi" w:hAnsiTheme="minorHAnsi"/>
                <w:b w:val="0"/>
                <w:sz w:val="22"/>
                <w:szCs w:val="22"/>
              </w:rPr>
              <w:t xml:space="preserve">paragraph (a) </w:t>
            </w:r>
            <w:r w:rsidR="008935DF" w:rsidRPr="008935DF">
              <w:rPr>
                <w:rFonts w:asciiTheme="minorHAnsi" w:hAnsiTheme="minorHAnsi"/>
                <w:b w:val="0"/>
                <w:sz w:val="22"/>
                <w:szCs w:val="22"/>
              </w:rPr>
              <w:t>sub-section</w:t>
            </w:r>
            <w:r w:rsidR="009464DD" w:rsidRPr="008935DF">
              <w:rPr>
                <w:rFonts w:asciiTheme="minorHAnsi" w:hAnsiTheme="minorHAnsi"/>
                <w:b w:val="0"/>
                <w:sz w:val="22"/>
                <w:szCs w:val="22"/>
              </w:rPr>
              <w:t xml:space="preserve"> (1) of </w:t>
            </w:r>
            <w:r w:rsidR="008935DF" w:rsidRPr="008935DF">
              <w:rPr>
                <w:rFonts w:asciiTheme="minorHAnsi" w:hAnsiTheme="minorHAnsi"/>
                <w:b w:val="0"/>
                <w:sz w:val="22"/>
                <w:szCs w:val="22"/>
              </w:rPr>
              <w:t xml:space="preserve">section </w:t>
            </w:r>
            <w:r w:rsidR="009464DD" w:rsidRPr="008935DF">
              <w:rPr>
                <w:rFonts w:asciiTheme="minorHAnsi" w:hAnsiTheme="minorHAnsi"/>
                <w:b w:val="0"/>
                <w:sz w:val="22"/>
                <w:szCs w:val="22"/>
              </w:rPr>
              <w:t xml:space="preserve">44 of Law to an index whose composition is sufficiently diversified </w:t>
            </w:r>
            <w:r w:rsidR="008935DF" w:rsidRPr="008935DF">
              <w:rPr>
                <w:rFonts w:asciiTheme="minorHAnsi" w:hAnsiTheme="minorHAnsi"/>
                <w:b w:val="0"/>
                <w:sz w:val="22"/>
                <w:szCs w:val="22"/>
              </w:rPr>
              <w:t xml:space="preserve">is </w:t>
            </w:r>
            <w:r w:rsidR="009464DD" w:rsidRPr="008935DF">
              <w:rPr>
                <w:rFonts w:asciiTheme="minorHAnsi" w:hAnsiTheme="minorHAnsi"/>
                <w:b w:val="0"/>
                <w:sz w:val="22"/>
                <w:szCs w:val="22"/>
              </w:rPr>
              <w:t xml:space="preserve">read </w:t>
            </w:r>
            <w:r w:rsidR="008935DF" w:rsidRPr="008935DF">
              <w:rPr>
                <w:rFonts w:asciiTheme="minorHAnsi" w:hAnsiTheme="minorHAnsi"/>
                <w:b w:val="0"/>
                <w:sz w:val="22"/>
                <w:szCs w:val="22"/>
              </w:rPr>
              <w:t xml:space="preserve">as an </w:t>
            </w:r>
            <w:r w:rsidR="009464DD" w:rsidRPr="008935DF">
              <w:rPr>
                <w:rFonts w:asciiTheme="minorHAnsi" w:hAnsiTheme="minorHAnsi"/>
                <w:b w:val="0"/>
                <w:sz w:val="22"/>
                <w:szCs w:val="22"/>
              </w:rPr>
              <w:t>index which complies with the rules for risk di</w:t>
            </w:r>
            <w:r w:rsidR="008935DF" w:rsidRPr="008935DF">
              <w:rPr>
                <w:rFonts w:asciiTheme="minorHAnsi" w:hAnsiTheme="minorHAnsi"/>
                <w:b w:val="0"/>
                <w:sz w:val="22"/>
                <w:szCs w:val="22"/>
              </w:rPr>
              <w:t>versification by virtue of sub-section</w:t>
            </w:r>
            <w:r w:rsidR="009464DD" w:rsidRPr="008935DF">
              <w:rPr>
                <w:rFonts w:asciiTheme="minorHAnsi" w:hAnsiTheme="minorHAnsi"/>
                <w:b w:val="0"/>
                <w:sz w:val="22"/>
                <w:szCs w:val="22"/>
              </w:rPr>
              <w:t xml:space="preserve"> (1) of </w:t>
            </w:r>
            <w:r w:rsidR="008935DF" w:rsidRPr="008935DF">
              <w:rPr>
                <w:rFonts w:asciiTheme="minorHAnsi" w:hAnsiTheme="minorHAnsi"/>
                <w:b w:val="0"/>
                <w:sz w:val="22"/>
                <w:szCs w:val="22"/>
              </w:rPr>
              <w:t>section 44 of the Law</w:t>
            </w:r>
            <w:r w:rsidR="009464DD" w:rsidRPr="008935DF">
              <w:rPr>
                <w:rFonts w:asciiTheme="minorHAnsi" w:hAnsiTheme="minorHAnsi"/>
                <w:b w:val="0"/>
                <w:sz w:val="22"/>
                <w:szCs w:val="22"/>
              </w:rPr>
              <w:t>∙</w:t>
            </w:r>
          </w:p>
          <w:p w:rsidR="009464DD" w:rsidRPr="008935DF" w:rsidRDefault="008935DF" w:rsidP="008935DF">
            <w:pPr>
              <w:jc w:val="both"/>
              <w:rPr>
                <w:rFonts w:cs="Calibri"/>
              </w:rPr>
            </w:pPr>
            <w:r w:rsidRPr="008935DF">
              <w:t xml:space="preserve">The </w:t>
            </w:r>
            <w:r w:rsidR="009464DD" w:rsidRPr="008935DF">
              <w:t xml:space="preserve">a UCITS must provide appropriate information </w:t>
            </w:r>
            <w:r w:rsidRPr="008935DF">
              <w:t xml:space="preserve">to </w:t>
            </w:r>
            <w:r w:rsidR="009464DD" w:rsidRPr="008935DF">
              <w:t xml:space="preserve">shareholders in the </w:t>
            </w:r>
            <w:r w:rsidRPr="008935DF">
              <w:rPr>
                <w:rFonts w:cs="Arial"/>
              </w:rPr>
              <w:t>Key Investor Information Document</w:t>
            </w:r>
            <w:r w:rsidRPr="008935DF">
              <w:t xml:space="preserve"> to </w:t>
            </w:r>
            <w:r w:rsidR="009464DD" w:rsidRPr="008935DF">
              <w:t>investors, where the limit for investment in shares and/or bonds issued by the same body is increased beyond the 20% and t</w:t>
            </w:r>
            <w:r w:rsidRPr="008935DF">
              <w:t>o t</w:t>
            </w:r>
            <w:r w:rsidR="009464DD" w:rsidRPr="008935DF">
              <w:t xml:space="preserve">he maximum limit of 35% in the same publisher, in compliance with </w:t>
            </w:r>
            <w:r w:rsidRPr="008935DF">
              <w:t>section 44 of the L</w:t>
            </w:r>
            <w:r w:rsidR="009464DD" w:rsidRPr="008935DF">
              <w:t>aw, in order to justify the specific market conditions.</w:t>
            </w:r>
          </w:p>
        </w:tc>
        <w:tc>
          <w:tcPr>
            <w:tcW w:w="1276" w:type="dxa"/>
          </w:tcPr>
          <w:p w:rsidR="009C32DF" w:rsidRPr="008935DF" w:rsidRDefault="009C32DF" w:rsidP="00117359">
            <w:pPr>
              <w:autoSpaceDE w:val="0"/>
              <w:autoSpaceDN w:val="0"/>
              <w:adjustRightInd w:val="0"/>
              <w:spacing w:after="0" w:line="240" w:lineRule="auto"/>
              <w:jc w:val="center"/>
              <w:rPr>
                <w:rFonts w:cstheme="minorHAnsi"/>
                <w:b/>
              </w:rPr>
            </w:pPr>
          </w:p>
        </w:tc>
        <w:tc>
          <w:tcPr>
            <w:tcW w:w="1559" w:type="dxa"/>
          </w:tcPr>
          <w:p w:rsidR="009C32DF" w:rsidRPr="008935DF" w:rsidRDefault="009C32DF" w:rsidP="00117359">
            <w:pPr>
              <w:autoSpaceDE w:val="0"/>
              <w:autoSpaceDN w:val="0"/>
              <w:adjustRightInd w:val="0"/>
              <w:spacing w:after="0" w:line="240" w:lineRule="auto"/>
              <w:jc w:val="center"/>
              <w:rPr>
                <w:rFonts w:cstheme="minorHAnsi"/>
                <w:b/>
              </w:rPr>
            </w:pPr>
          </w:p>
        </w:tc>
        <w:tc>
          <w:tcPr>
            <w:tcW w:w="1560" w:type="dxa"/>
          </w:tcPr>
          <w:p w:rsidR="009C32DF" w:rsidRPr="008935DF" w:rsidRDefault="009C32DF" w:rsidP="00117359">
            <w:pPr>
              <w:autoSpaceDE w:val="0"/>
              <w:autoSpaceDN w:val="0"/>
              <w:adjustRightInd w:val="0"/>
              <w:spacing w:after="0" w:line="240" w:lineRule="auto"/>
              <w:jc w:val="center"/>
              <w:rPr>
                <w:rFonts w:cstheme="minorHAnsi"/>
                <w:b/>
              </w:rPr>
            </w:pPr>
          </w:p>
        </w:tc>
      </w:tr>
      <w:tr w:rsidR="00F44F31" w:rsidRPr="008935DF" w:rsidTr="0039191B">
        <w:trPr>
          <w:trHeight w:val="600"/>
        </w:trPr>
        <w:tc>
          <w:tcPr>
            <w:tcW w:w="5211" w:type="dxa"/>
          </w:tcPr>
          <w:p w:rsidR="008935DF" w:rsidRPr="008935DF" w:rsidRDefault="008935DF" w:rsidP="008935DF">
            <w:pPr>
              <w:autoSpaceDE w:val="0"/>
              <w:autoSpaceDN w:val="0"/>
              <w:adjustRightInd w:val="0"/>
              <w:spacing w:after="0" w:line="240" w:lineRule="auto"/>
              <w:jc w:val="both"/>
              <w:rPr>
                <w:rFonts w:eastAsia="Calibri" w:cs="Times New Roman"/>
                <w:color w:val="000000"/>
                <w:u w:val="single"/>
              </w:rPr>
            </w:pPr>
            <w:r w:rsidRPr="008935DF">
              <w:rPr>
                <w:rFonts w:eastAsia="Calibri" w:cs="Times New Roman"/>
                <w:bCs/>
                <w:color w:val="000000"/>
                <w:u w:val="single"/>
                <w:lang w:val="en-GB"/>
              </w:rPr>
              <w:t xml:space="preserve">Directive DI78-2012-07 </w:t>
            </w:r>
            <w:r w:rsidRPr="008935DF">
              <w:rPr>
                <w:rFonts w:eastAsia="Calibri" w:cs="Times New Roman"/>
                <w:bCs/>
                <w:color w:val="000000"/>
                <w:u w:val="single"/>
              </w:rPr>
              <w:t>regarding the procedure and conditions for granting a UCITS operation license</w:t>
            </w:r>
          </w:p>
          <w:p w:rsidR="008935DF" w:rsidRPr="008935DF" w:rsidRDefault="008935DF" w:rsidP="008935DF">
            <w:pPr>
              <w:autoSpaceDE w:val="0"/>
              <w:autoSpaceDN w:val="0"/>
              <w:adjustRightInd w:val="0"/>
              <w:spacing w:after="0" w:line="240" w:lineRule="auto"/>
              <w:jc w:val="both"/>
              <w:rPr>
                <w:rFonts w:eastAsia="Calibri" w:cs="Times New Roman"/>
                <w:color w:val="000000"/>
                <w:u w:val="single"/>
              </w:rPr>
            </w:pPr>
          </w:p>
          <w:p w:rsidR="008935DF" w:rsidRPr="008935DF" w:rsidRDefault="008935DF" w:rsidP="00652F55">
            <w:pPr>
              <w:jc w:val="both"/>
              <w:rPr>
                <w:rFonts w:cstheme="minorHAnsi"/>
              </w:rPr>
            </w:pPr>
            <w:r w:rsidRPr="008935DF">
              <w:rPr>
                <w:rFonts w:eastAsiaTheme="minorHAnsi" w:cs="Times New Roman"/>
                <w:lang w:val="en-GB"/>
              </w:rPr>
              <w:t xml:space="preserve">Paragraph 14(2). </w:t>
            </w:r>
            <w:r w:rsidRPr="008935DF">
              <w:rPr>
                <w:rFonts w:eastAsia="Calibri" w:cs="Times New Roman"/>
              </w:rPr>
              <w:t>The Prospectus, the Key Investor Information Document and the statements and reports of the Variable Capital Investment Company contain, either on the cover page or on the first page, a statement that the Company operates without having appointed a Custodian, in accordance with Section 35 of the Law. The relevant statement has to be made obvious and with capital letters in the lower central part of the said documents and, in case of a multi-page document, on the cover page. The police of such statement must be the same with the police of the main text.</w:t>
            </w:r>
          </w:p>
        </w:tc>
        <w:tc>
          <w:tcPr>
            <w:tcW w:w="1276" w:type="dxa"/>
          </w:tcPr>
          <w:p w:rsidR="00F44F31" w:rsidRPr="008935DF" w:rsidRDefault="00F44F31" w:rsidP="00117359">
            <w:pPr>
              <w:autoSpaceDE w:val="0"/>
              <w:autoSpaceDN w:val="0"/>
              <w:adjustRightInd w:val="0"/>
              <w:spacing w:after="0" w:line="240" w:lineRule="auto"/>
              <w:jc w:val="center"/>
              <w:rPr>
                <w:rFonts w:cstheme="minorHAnsi"/>
              </w:rPr>
            </w:pPr>
          </w:p>
        </w:tc>
        <w:tc>
          <w:tcPr>
            <w:tcW w:w="1559" w:type="dxa"/>
          </w:tcPr>
          <w:p w:rsidR="00F44F31" w:rsidRPr="008935DF" w:rsidRDefault="00F44F31" w:rsidP="00117359">
            <w:pPr>
              <w:autoSpaceDE w:val="0"/>
              <w:autoSpaceDN w:val="0"/>
              <w:adjustRightInd w:val="0"/>
              <w:spacing w:after="0" w:line="240" w:lineRule="auto"/>
              <w:jc w:val="center"/>
              <w:rPr>
                <w:rFonts w:cstheme="minorHAnsi"/>
                <w:b/>
              </w:rPr>
            </w:pPr>
          </w:p>
        </w:tc>
        <w:tc>
          <w:tcPr>
            <w:tcW w:w="1560" w:type="dxa"/>
          </w:tcPr>
          <w:p w:rsidR="00F44F31" w:rsidRPr="008935DF" w:rsidRDefault="00F44F31" w:rsidP="00117359">
            <w:pPr>
              <w:autoSpaceDE w:val="0"/>
              <w:autoSpaceDN w:val="0"/>
              <w:adjustRightInd w:val="0"/>
              <w:spacing w:after="0" w:line="240" w:lineRule="auto"/>
              <w:jc w:val="center"/>
              <w:rPr>
                <w:rFonts w:cstheme="minorHAnsi"/>
                <w:b/>
              </w:rPr>
            </w:pPr>
          </w:p>
        </w:tc>
      </w:tr>
      <w:tr w:rsidR="008935DF" w:rsidRPr="008935DF" w:rsidTr="00817960">
        <w:trPr>
          <w:trHeight w:val="600"/>
        </w:trPr>
        <w:tc>
          <w:tcPr>
            <w:tcW w:w="5211" w:type="dxa"/>
          </w:tcPr>
          <w:p w:rsidR="008935DF" w:rsidRPr="008935DF" w:rsidRDefault="008935DF" w:rsidP="008935DF">
            <w:pPr>
              <w:autoSpaceDE w:val="0"/>
              <w:autoSpaceDN w:val="0"/>
              <w:adjustRightInd w:val="0"/>
              <w:spacing w:after="0" w:line="240" w:lineRule="auto"/>
              <w:jc w:val="both"/>
              <w:rPr>
                <w:rFonts w:cstheme="minorHAnsi"/>
                <w:lang w:val="en-GB"/>
              </w:rPr>
            </w:pPr>
            <w:r w:rsidRPr="008935DF">
              <w:rPr>
                <w:rFonts w:cstheme="minorHAnsi"/>
                <w:bCs/>
                <w:u w:val="single"/>
                <w:lang w:val="en-GB"/>
              </w:rPr>
              <w:t xml:space="preserve">Directive DI78-2012-11 regarding </w:t>
            </w:r>
            <w:r w:rsidRPr="008935DF">
              <w:rPr>
                <w:rFonts w:cstheme="minorHAnsi"/>
                <w:u w:val="single"/>
                <w:lang w:val="en-GB"/>
              </w:rPr>
              <w:t>the terms and the procedure for the marketing network of UCITS’ units in the Republic of Cyprus, the organisation of the marketing network and the obligations of the persons participating in the network</w:t>
            </w:r>
          </w:p>
          <w:p w:rsidR="008935DF" w:rsidRPr="008935DF" w:rsidRDefault="008935DF" w:rsidP="008935DF">
            <w:pPr>
              <w:autoSpaceDE w:val="0"/>
              <w:autoSpaceDN w:val="0"/>
              <w:adjustRightInd w:val="0"/>
              <w:spacing w:after="0" w:line="240" w:lineRule="auto"/>
              <w:jc w:val="both"/>
              <w:rPr>
                <w:rFonts w:cstheme="minorHAnsi"/>
                <w:bCs/>
                <w:u w:val="single"/>
                <w:lang w:val="en-GB"/>
              </w:rPr>
            </w:pPr>
          </w:p>
          <w:p w:rsidR="008935DF" w:rsidRPr="008935DF" w:rsidRDefault="008935DF" w:rsidP="008935DF">
            <w:pPr>
              <w:autoSpaceDE w:val="0"/>
              <w:autoSpaceDN w:val="0"/>
              <w:adjustRightInd w:val="0"/>
              <w:spacing w:after="0" w:line="240" w:lineRule="auto"/>
              <w:jc w:val="both"/>
              <w:rPr>
                <w:rFonts w:cstheme="minorHAnsi"/>
                <w:lang w:val="en-GB"/>
              </w:rPr>
            </w:pPr>
            <w:r w:rsidRPr="008935DF">
              <w:rPr>
                <w:rFonts w:cstheme="minorHAnsi"/>
                <w:bCs/>
                <w:lang w:val="en-GB"/>
              </w:rPr>
              <w:t xml:space="preserve">Paragraph 12. </w:t>
            </w:r>
            <w:r w:rsidRPr="008935DF">
              <w:rPr>
                <w:rFonts w:cstheme="minorHAnsi"/>
                <w:lang w:val="en-GB"/>
              </w:rPr>
              <w:t xml:space="preserve">The key investor information document for investors, the fund rules or the instruments of incorporation of UCITS, the prospectus and the latest annual and half-yearly report of the UCITS to be given to persons applying for participation in UCITS, any </w:t>
            </w:r>
            <w:r w:rsidRPr="008935DF">
              <w:rPr>
                <w:rFonts w:cstheme="minorHAnsi"/>
                <w:lang w:val="en-GB"/>
              </w:rPr>
              <w:lastRenderedPageBreak/>
              <w:t>updated documents and any other documents or message to be addressed to investors and to be posted on the internet or to be disclosed to investors, must clearly state, in a readily visible way, that the investment of UCITS has no guaranteed return and that past performance does not guarantee future results. In the case of UCITS of guaranteed return, the above statement can be limited to the fact that past performance does not guarantee future results.</w:t>
            </w:r>
          </w:p>
          <w:p w:rsidR="008935DF" w:rsidRPr="008935DF" w:rsidRDefault="008935DF" w:rsidP="008935DF">
            <w:pPr>
              <w:autoSpaceDE w:val="0"/>
              <w:autoSpaceDN w:val="0"/>
              <w:adjustRightInd w:val="0"/>
              <w:spacing w:after="0" w:line="240" w:lineRule="auto"/>
              <w:jc w:val="both"/>
              <w:rPr>
                <w:rFonts w:cstheme="minorHAnsi"/>
                <w:bCs/>
                <w:u w:val="single"/>
                <w:lang w:val="en-GB"/>
              </w:rPr>
            </w:pPr>
          </w:p>
        </w:tc>
        <w:tc>
          <w:tcPr>
            <w:tcW w:w="1276" w:type="dxa"/>
          </w:tcPr>
          <w:p w:rsidR="008935DF" w:rsidRPr="008935DF" w:rsidRDefault="008935DF" w:rsidP="008935DF">
            <w:pPr>
              <w:autoSpaceDE w:val="0"/>
              <w:autoSpaceDN w:val="0"/>
              <w:adjustRightInd w:val="0"/>
              <w:spacing w:after="0" w:line="240" w:lineRule="auto"/>
              <w:jc w:val="both"/>
              <w:rPr>
                <w:rFonts w:cstheme="minorHAnsi"/>
              </w:rPr>
            </w:pPr>
          </w:p>
        </w:tc>
        <w:tc>
          <w:tcPr>
            <w:tcW w:w="1559" w:type="dxa"/>
          </w:tcPr>
          <w:p w:rsidR="008935DF" w:rsidRPr="008935DF" w:rsidRDefault="008935DF" w:rsidP="008935DF">
            <w:pPr>
              <w:autoSpaceDE w:val="0"/>
              <w:autoSpaceDN w:val="0"/>
              <w:adjustRightInd w:val="0"/>
              <w:spacing w:after="0" w:line="240" w:lineRule="auto"/>
              <w:jc w:val="both"/>
              <w:rPr>
                <w:rFonts w:cstheme="minorHAnsi"/>
                <w:b/>
              </w:rPr>
            </w:pPr>
          </w:p>
        </w:tc>
        <w:tc>
          <w:tcPr>
            <w:tcW w:w="1560" w:type="dxa"/>
          </w:tcPr>
          <w:p w:rsidR="008935DF" w:rsidRPr="008935DF" w:rsidRDefault="008935DF" w:rsidP="008935DF">
            <w:pPr>
              <w:autoSpaceDE w:val="0"/>
              <w:autoSpaceDN w:val="0"/>
              <w:adjustRightInd w:val="0"/>
              <w:spacing w:after="0" w:line="240" w:lineRule="auto"/>
              <w:jc w:val="both"/>
              <w:rPr>
                <w:rFonts w:cstheme="minorHAnsi"/>
                <w:b/>
              </w:rPr>
            </w:pPr>
          </w:p>
        </w:tc>
      </w:tr>
      <w:bookmarkEnd w:id="0"/>
    </w:tbl>
    <w:p w:rsidR="00627A0F" w:rsidRPr="008935DF" w:rsidRDefault="00627A0F" w:rsidP="009C32DF">
      <w:pPr>
        <w:autoSpaceDE w:val="0"/>
        <w:autoSpaceDN w:val="0"/>
        <w:adjustRightInd w:val="0"/>
        <w:spacing w:after="0" w:line="240" w:lineRule="auto"/>
        <w:jc w:val="both"/>
        <w:rPr>
          <w:rFonts w:cstheme="minorHAnsi"/>
          <w:sz w:val="24"/>
          <w:szCs w:val="24"/>
          <w:highlight w:val="yellow"/>
        </w:rPr>
      </w:pPr>
    </w:p>
    <w:p w:rsidR="009C32DF" w:rsidRPr="008935DF" w:rsidRDefault="009C32DF" w:rsidP="009C32DF">
      <w:pPr>
        <w:autoSpaceDE w:val="0"/>
        <w:autoSpaceDN w:val="0"/>
        <w:adjustRightInd w:val="0"/>
        <w:spacing w:after="0" w:line="240" w:lineRule="auto"/>
        <w:jc w:val="both"/>
        <w:rPr>
          <w:rFonts w:cstheme="minorHAnsi"/>
          <w:sz w:val="24"/>
          <w:szCs w:val="24"/>
        </w:rPr>
      </w:pPr>
    </w:p>
    <w:p w:rsidR="00213573" w:rsidRPr="008935DF" w:rsidRDefault="00213573"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5448FA" w:rsidRPr="008935DF" w:rsidRDefault="005448FA" w:rsidP="009C32DF">
      <w:pPr>
        <w:autoSpaceDE w:val="0"/>
        <w:autoSpaceDN w:val="0"/>
        <w:adjustRightInd w:val="0"/>
        <w:spacing w:after="0" w:line="240" w:lineRule="auto"/>
        <w:jc w:val="both"/>
        <w:rPr>
          <w:rFonts w:cstheme="minorHAnsi"/>
          <w:sz w:val="24"/>
          <w:szCs w:val="24"/>
        </w:rPr>
      </w:pPr>
    </w:p>
    <w:p w:rsidR="00E96207" w:rsidRPr="008935DF" w:rsidRDefault="00E96207" w:rsidP="009C32DF">
      <w:pPr>
        <w:autoSpaceDE w:val="0"/>
        <w:autoSpaceDN w:val="0"/>
        <w:adjustRightInd w:val="0"/>
        <w:spacing w:after="0" w:line="240" w:lineRule="auto"/>
        <w:jc w:val="both"/>
        <w:rPr>
          <w:rFonts w:cstheme="minorHAnsi"/>
          <w:sz w:val="24"/>
          <w:szCs w:val="24"/>
        </w:rPr>
      </w:pPr>
    </w:p>
    <w:p w:rsidR="00E96207" w:rsidRPr="008935DF" w:rsidRDefault="00E96207" w:rsidP="009C32DF">
      <w:pPr>
        <w:autoSpaceDE w:val="0"/>
        <w:autoSpaceDN w:val="0"/>
        <w:adjustRightInd w:val="0"/>
        <w:spacing w:after="0" w:line="240" w:lineRule="auto"/>
        <w:jc w:val="both"/>
        <w:rPr>
          <w:rFonts w:cstheme="minorHAnsi"/>
          <w:sz w:val="24"/>
          <w:szCs w:val="24"/>
        </w:rPr>
      </w:pPr>
    </w:p>
    <w:p w:rsidR="00E96207" w:rsidRPr="008935DF" w:rsidRDefault="00E96207" w:rsidP="009C32DF">
      <w:pPr>
        <w:autoSpaceDE w:val="0"/>
        <w:autoSpaceDN w:val="0"/>
        <w:adjustRightInd w:val="0"/>
        <w:spacing w:after="0" w:line="240" w:lineRule="auto"/>
        <w:jc w:val="both"/>
        <w:rPr>
          <w:rFonts w:cstheme="minorHAnsi"/>
          <w:sz w:val="24"/>
          <w:szCs w:val="24"/>
        </w:rPr>
      </w:pPr>
    </w:p>
    <w:p w:rsidR="00E96207" w:rsidRPr="008935DF" w:rsidRDefault="00E96207" w:rsidP="009C32DF">
      <w:pPr>
        <w:autoSpaceDE w:val="0"/>
        <w:autoSpaceDN w:val="0"/>
        <w:adjustRightInd w:val="0"/>
        <w:spacing w:after="0" w:line="240" w:lineRule="auto"/>
        <w:jc w:val="both"/>
        <w:rPr>
          <w:rFonts w:cstheme="minorHAnsi"/>
          <w:sz w:val="24"/>
          <w:szCs w:val="24"/>
        </w:rPr>
      </w:pPr>
    </w:p>
    <w:p w:rsidR="00E96207" w:rsidRPr="008935DF" w:rsidRDefault="00E96207" w:rsidP="009C32DF">
      <w:pPr>
        <w:autoSpaceDE w:val="0"/>
        <w:autoSpaceDN w:val="0"/>
        <w:adjustRightInd w:val="0"/>
        <w:spacing w:after="0" w:line="240" w:lineRule="auto"/>
        <w:jc w:val="both"/>
        <w:rPr>
          <w:rFonts w:cstheme="minorHAnsi"/>
          <w:sz w:val="24"/>
          <w:szCs w:val="24"/>
        </w:rPr>
      </w:pPr>
    </w:p>
    <w:p w:rsidR="00E96207" w:rsidRPr="008935DF" w:rsidRDefault="00E96207" w:rsidP="009C32DF">
      <w:pPr>
        <w:autoSpaceDE w:val="0"/>
        <w:autoSpaceDN w:val="0"/>
        <w:adjustRightInd w:val="0"/>
        <w:spacing w:after="0" w:line="240" w:lineRule="auto"/>
        <w:jc w:val="both"/>
        <w:rPr>
          <w:rFonts w:cstheme="minorHAnsi"/>
          <w:sz w:val="24"/>
          <w:szCs w:val="24"/>
        </w:rPr>
      </w:pPr>
    </w:p>
    <w:p w:rsidR="00213573" w:rsidRPr="008935DF" w:rsidRDefault="00213573" w:rsidP="009C32DF">
      <w:pPr>
        <w:autoSpaceDE w:val="0"/>
        <w:autoSpaceDN w:val="0"/>
        <w:adjustRightInd w:val="0"/>
        <w:spacing w:after="0" w:line="240" w:lineRule="auto"/>
        <w:jc w:val="both"/>
        <w:rPr>
          <w:rFonts w:cstheme="minorHAnsi"/>
          <w:sz w:val="24"/>
          <w:szCs w:val="24"/>
        </w:rPr>
      </w:pPr>
    </w:p>
    <w:sectPr w:rsidR="00213573" w:rsidRPr="008935DF" w:rsidSect="00D522D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02" w:rsidRDefault="00C00D02" w:rsidP="007D2722">
      <w:pPr>
        <w:spacing w:after="0" w:line="240" w:lineRule="auto"/>
      </w:pPr>
      <w:r>
        <w:separator/>
      </w:r>
    </w:p>
  </w:endnote>
  <w:endnote w:type="continuationSeparator" w:id="0">
    <w:p w:rsidR="00C00D02" w:rsidRDefault="00C00D02" w:rsidP="007D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722" w:rsidRDefault="007D2722">
    <w:pPr>
      <w:pStyle w:val="Footer"/>
      <w:jc w:val="right"/>
    </w:pPr>
  </w:p>
  <w:p w:rsidR="007D2722" w:rsidRDefault="007D2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02" w:rsidRDefault="00C00D02" w:rsidP="007D2722">
      <w:pPr>
        <w:spacing w:after="0" w:line="240" w:lineRule="auto"/>
      </w:pPr>
      <w:r>
        <w:separator/>
      </w:r>
    </w:p>
  </w:footnote>
  <w:footnote w:type="continuationSeparator" w:id="0">
    <w:p w:rsidR="00C00D02" w:rsidRDefault="00C00D02" w:rsidP="007D2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6B758"/>
    <w:multiLevelType w:val="hybridMultilevel"/>
    <w:tmpl w:val="9BEA0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EB18FC4"/>
    <w:multiLevelType w:val="hybridMultilevel"/>
    <w:tmpl w:val="C0D278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1C5D1F"/>
    <w:multiLevelType w:val="hybridMultilevel"/>
    <w:tmpl w:val="8E388F96"/>
    <w:lvl w:ilvl="0" w:tplc="ABEE4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8410D"/>
    <w:multiLevelType w:val="hybridMultilevel"/>
    <w:tmpl w:val="6BB47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345AF5"/>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9447E"/>
    <w:multiLevelType w:val="hybridMultilevel"/>
    <w:tmpl w:val="53684D5E"/>
    <w:lvl w:ilvl="0" w:tplc="798C5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C6E9F"/>
    <w:multiLevelType w:val="hybridMultilevel"/>
    <w:tmpl w:val="617661CC"/>
    <w:lvl w:ilvl="0" w:tplc="3C9A73C2">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518516C"/>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B2EEB"/>
    <w:multiLevelType w:val="hybridMultilevel"/>
    <w:tmpl w:val="A4C81616"/>
    <w:lvl w:ilvl="0" w:tplc="61AC7A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57A2A8"/>
    <w:multiLevelType w:val="hybridMultilevel"/>
    <w:tmpl w:val="97A65C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DA93E60"/>
    <w:multiLevelType w:val="hybridMultilevel"/>
    <w:tmpl w:val="510CA070"/>
    <w:lvl w:ilvl="0" w:tplc="F5486EC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FB1348"/>
    <w:multiLevelType w:val="hybridMultilevel"/>
    <w:tmpl w:val="9648D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2E2FB9"/>
    <w:multiLevelType w:val="hybridMultilevel"/>
    <w:tmpl w:val="E6920BC0"/>
    <w:lvl w:ilvl="0" w:tplc="0FF20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4659F2"/>
    <w:multiLevelType w:val="hybridMultilevel"/>
    <w:tmpl w:val="7722F62C"/>
    <w:lvl w:ilvl="0" w:tplc="37841600">
      <w:numFmt w:val="bullet"/>
      <w:lvlText w:val="-"/>
      <w:lvlJc w:val="left"/>
      <w:pPr>
        <w:tabs>
          <w:tab w:val="num" w:pos="720"/>
        </w:tabs>
        <w:ind w:left="720" w:hanging="360"/>
      </w:pPr>
      <w:rPr>
        <w:rFonts w:ascii="Times New Roman" w:eastAsia="Times New Roman" w:hAnsi="Times New Roman" w:cs="Times New Roman" w:hint="default"/>
        <w:i/>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64751E9"/>
    <w:multiLevelType w:val="hybridMultilevel"/>
    <w:tmpl w:val="5FD83EF8"/>
    <w:lvl w:ilvl="0" w:tplc="04090013">
      <w:start w:val="1"/>
      <w:numFmt w:val="upperRoman"/>
      <w:lvlText w:val="%1."/>
      <w:lvlJc w:val="righ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5">
    <w:nsid w:val="47E60BEA"/>
    <w:multiLevelType w:val="hybridMultilevel"/>
    <w:tmpl w:val="617661CC"/>
    <w:lvl w:ilvl="0" w:tplc="3C9A73C2">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9864F1E"/>
    <w:multiLevelType w:val="hybridMultilevel"/>
    <w:tmpl w:val="79564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FB04CA"/>
    <w:multiLevelType w:val="hybridMultilevel"/>
    <w:tmpl w:val="4D8C4BE6"/>
    <w:lvl w:ilvl="0" w:tplc="63BA2C2E">
      <w:start w:val="1"/>
      <w:numFmt w:val="decimal"/>
      <w:lvlText w:val="%1."/>
      <w:lvlJc w:val="left"/>
      <w:pPr>
        <w:ind w:left="720" w:hanging="360"/>
      </w:pPr>
      <w:rPr>
        <w:rFonts w:ascii="TimesNewRomanPSMT" w:hAnsi="TimesNewRomanPSMT" w:cs="TimesNewRomanPSM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EC2D2A"/>
    <w:multiLevelType w:val="hybridMultilevel"/>
    <w:tmpl w:val="7FC65AA2"/>
    <w:lvl w:ilvl="0" w:tplc="B1C08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607319"/>
    <w:multiLevelType w:val="hybridMultilevel"/>
    <w:tmpl w:val="C36A7084"/>
    <w:lvl w:ilvl="0" w:tplc="FFFFFFFF">
      <w:start w:val="1"/>
      <w:numFmt w:val="decimal"/>
      <w:lvlText w:val=""/>
      <w:lvlJc w:val="left"/>
    </w:lvl>
    <w:lvl w:ilvl="1" w:tplc="04090013">
      <w:start w:val="1"/>
      <w:numFmt w:val="upperRoman"/>
      <w:lvlText w:val="%2."/>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7D5B5D4E"/>
    <w:multiLevelType w:val="hybridMultilevel"/>
    <w:tmpl w:val="6268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3C68E5"/>
    <w:multiLevelType w:val="hybridMultilevel"/>
    <w:tmpl w:val="617661CC"/>
    <w:lvl w:ilvl="0" w:tplc="3C9A73C2">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7"/>
  </w:num>
  <w:num w:numId="3">
    <w:abstractNumId w:val="4"/>
  </w:num>
  <w:num w:numId="4">
    <w:abstractNumId w:val="0"/>
  </w:num>
  <w:num w:numId="5">
    <w:abstractNumId w:val="11"/>
  </w:num>
  <w:num w:numId="6">
    <w:abstractNumId w:val="16"/>
  </w:num>
  <w:num w:numId="7">
    <w:abstractNumId w:val="13"/>
  </w:num>
  <w:num w:numId="8">
    <w:abstractNumId w:val="20"/>
  </w:num>
  <w:num w:numId="9">
    <w:abstractNumId w:val="10"/>
  </w:num>
  <w:num w:numId="10">
    <w:abstractNumId w:val="3"/>
  </w:num>
  <w:num w:numId="11">
    <w:abstractNumId w:val="2"/>
  </w:num>
  <w:num w:numId="12">
    <w:abstractNumId w:val="18"/>
  </w:num>
  <w:num w:numId="13">
    <w:abstractNumId w:val="17"/>
  </w:num>
  <w:num w:numId="14">
    <w:abstractNumId w:val="5"/>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14"/>
  </w:num>
  <w:num w:numId="19">
    <w:abstractNumId w:val="19"/>
  </w:num>
  <w:num w:numId="20">
    <w:abstractNumId w:val="21"/>
  </w:num>
  <w:num w:numId="21">
    <w:abstractNumId w:val="15"/>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70B4"/>
    <w:rsid w:val="00000A04"/>
    <w:rsid w:val="00021C80"/>
    <w:rsid w:val="000358CA"/>
    <w:rsid w:val="00065EAB"/>
    <w:rsid w:val="00067F5C"/>
    <w:rsid w:val="00090998"/>
    <w:rsid w:val="000D4B12"/>
    <w:rsid w:val="0012281C"/>
    <w:rsid w:val="00141905"/>
    <w:rsid w:val="00191A93"/>
    <w:rsid w:val="001B0AEE"/>
    <w:rsid w:val="001B2B23"/>
    <w:rsid w:val="001B685A"/>
    <w:rsid w:val="001D5456"/>
    <w:rsid w:val="001D5BF2"/>
    <w:rsid w:val="001E04B0"/>
    <w:rsid w:val="001F1EC7"/>
    <w:rsid w:val="001F305A"/>
    <w:rsid w:val="00201225"/>
    <w:rsid w:val="00213573"/>
    <w:rsid w:val="00220C0C"/>
    <w:rsid w:val="00247864"/>
    <w:rsid w:val="00270FFE"/>
    <w:rsid w:val="002A3BDA"/>
    <w:rsid w:val="002C6848"/>
    <w:rsid w:val="002C70B4"/>
    <w:rsid w:val="002D2955"/>
    <w:rsid w:val="002E326D"/>
    <w:rsid w:val="00312057"/>
    <w:rsid w:val="00312F27"/>
    <w:rsid w:val="0031501B"/>
    <w:rsid w:val="00316447"/>
    <w:rsid w:val="003236D6"/>
    <w:rsid w:val="00335B1B"/>
    <w:rsid w:val="00340FA6"/>
    <w:rsid w:val="00341579"/>
    <w:rsid w:val="0035262A"/>
    <w:rsid w:val="0037045F"/>
    <w:rsid w:val="003722FD"/>
    <w:rsid w:val="00377E3C"/>
    <w:rsid w:val="0039191B"/>
    <w:rsid w:val="003938AE"/>
    <w:rsid w:val="00393FAA"/>
    <w:rsid w:val="003A0216"/>
    <w:rsid w:val="003A15A3"/>
    <w:rsid w:val="003E7F0D"/>
    <w:rsid w:val="003F79AC"/>
    <w:rsid w:val="0042217F"/>
    <w:rsid w:val="004335F1"/>
    <w:rsid w:val="0044297C"/>
    <w:rsid w:val="004720B0"/>
    <w:rsid w:val="004754B7"/>
    <w:rsid w:val="004817E5"/>
    <w:rsid w:val="00487C04"/>
    <w:rsid w:val="004B09B3"/>
    <w:rsid w:val="004B54F0"/>
    <w:rsid w:val="005079AF"/>
    <w:rsid w:val="00522C16"/>
    <w:rsid w:val="0052667D"/>
    <w:rsid w:val="005448FA"/>
    <w:rsid w:val="00544920"/>
    <w:rsid w:val="00544D62"/>
    <w:rsid w:val="0056790D"/>
    <w:rsid w:val="005756CE"/>
    <w:rsid w:val="005B08C2"/>
    <w:rsid w:val="005E2323"/>
    <w:rsid w:val="00610404"/>
    <w:rsid w:val="00627A0F"/>
    <w:rsid w:val="0064619D"/>
    <w:rsid w:val="00652F55"/>
    <w:rsid w:val="00661CD8"/>
    <w:rsid w:val="00674E26"/>
    <w:rsid w:val="006957F5"/>
    <w:rsid w:val="006A7156"/>
    <w:rsid w:val="00714F55"/>
    <w:rsid w:val="00730F82"/>
    <w:rsid w:val="0073142D"/>
    <w:rsid w:val="00745EDF"/>
    <w:rsid w:val="0076191F"/>
    <w:rsid w:val="00767100"/>
    <w:rsid w:val="00771BE9"/>
    <w:rsid w:val="007D2094"/>
    <w:rsid w:val="007D2722"/>
    <w:rsid w:val="007E2531"/>
    <w:rsid w:val="00814DB1"/>
    <w:rsid w:val="0082201C"/>
    <w:rsid w:val="0082245E"/>
    <w:rsid w:val="00875C60"/>
    <w:rsid w:val="008760CB"/>
    <w:rsid w:val="008935DF"/>
    <w:rsid w:val="00895521"/>
    <w:rsid w:val="008B2686"/>
    <w:rsid w:val="008F2B62"/>
    <w:rsid w:val="008F3358"/>
    <w:rsid w:val="009144A6"/>
    <w:rsid w:val="00920689"/>
    <w:rsid w:val="0094112F"/>
    <w:rsid w:val="009464DD"/>
    <w:rsid w:val="00966F56"/>
    <w:rsid w:val="009825A2"/>
    <w:rsid w:val="00990784"/>
    <w:rsid w:val="009C32DF"/>
    <w:rsid w:val="009E1B10"/>
    <w:rsid w:val="00A25BF8"/>
    <w:rsid w:val="00A4358C"/>
    <w:rsid w:val="00A53DD0"/>
    <w:rsid w:val="00A75F5E"/>
    <w:rsid w:val="00A8095E"/>
    <w:rsid w:val="00AA2E15"/>
    <w:rsid w:val="00AA3084"/>
    <w:rsid w:val="00AD36A8"/>
    <w:rsid w:val="00AD6675"/>
    <w:rsid w:val="00AE6D82"/>
    <w:rsid w:val="00AF58FA"/>
    <w:rsid w:val="00B128D1"/>
    <w:rsid w:val="00B53DE0"/>
    <w:rsid w:val="00B61580"/>
    <w:rsid w:val="00B70365"/>
    <w:rsid w:val="00BA0A17"/>
    <w:rsid w:val="00BB3786"/>
    <w:rsid w:val="00BC7DC8"/>
    <w:rsid w:val="00BD4FE9"/>
    <w:rsid w:val="00BE341D"/>
    <w:rsid w:val="00C00D02"/>
    <w:rsid w:val="00C06F9E"/>
    <w:rsid w:val="00C20708"/>
    <w:rsid w:val="00C529BB"/>
    <w:rsid w:val="00C62DEA"/>
    <w:rsid w:val="00C701BD"/>
    <w:rsid w:val="00C76272"/>
    <w:rsid w:val="00CB7386"/>
    <w:rsid w:val="00CE38F5"/>
    <w:rsid w:val="00CF489F"/>
    <w:rsid w:val="00D02348"/>
    <w:rsid w:val="00D14751"/>
    <w:rsid w:val="00D226D6"/>
    <w:rsid w:val="00D26B15"/>
    <w:rsid w:val="00D41DB7"/>
    <w:rsid w:val="00D51241"/>
    <w:rsid w:val="00D522D7"/>
    <w:rsid w:val="00D610FB"/>
    <w:rsid w:val="00D6365C"/>
    <w:rsid w:val="00D97036"/>
    <w:rsid w:val="00DD60C1"/>
    <w:rsid w:val="00DE1CEF"/>
    <w:rsid w:val="00DE459B"/>
    <w:rsid w:val="00DF0F51"/>
    <w:rsid w:val="00E23D63"/>
    <w:rsid w:val="00E31140"/>
    <w:rsid w:val="00E3248E"/>
    <w:rsid w:val="00E36017"/>
    <w:rsid w:val="00E41BD5"/>
    <w:rsid w:val="00E679DA"/>
    <w:rsid w:val="00E735E3"/>
    <w:rsid w:val="00E73FE0"/>
    <w:rsid w:val="00E811A5"/>
    <w:rsid w:val="00E86CE3"/>
    <w:rsid w:val="00E95652"/>
    <w:rsid w:val="00E96207"/>
    <w:rsid w:val="00EB5023"/>
    <w:rsid w:val="00EB6D20"/>
    <w:rsid w:val="00EE0293"/>
    <w:rsid w:val="00F26BA0"/>
    <w:rsid w:val="00F32CF0"/>
    <w:rsid w:val="00F41F2D"/>
    <w:rsid w:val="00F44F31"/>
    <w:rsid w:val="00F7518F"/>
    <w:rsid w:val="00F75E07"/>
    <w:rsid w:val="00F80F80"/>
    <w:rsid w:val="00F867BB"/>
    <w:rsid w:val="00FB3289"/>
    <w:rsid w:val="00FB62C5"/>
    <w:rsid w:val="00FC0A4B"/>
    <w:rsid w:val="00FE1CFD"/>
    <w:rsid w:val="00FF6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56"/>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A25B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7E2531"/>
    <w:pPr>
      <w:ind w:left="720"/>
      <w:contextualSpacing/>
    </w:pPr>
  </w:style>
  <w:style w:type="character" w:customStyle="1" w:styleId="Heading2Char">
    <w:name w:val="Heading 2 Char"/>
    <w:basedOn w:val="DefaultParagraphFont"/>
    <w:link w:val="Heading2"/>
    <w:uiPriority w:val="9"/>
    <w:rsid w:val="00A25B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3A021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3A021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D2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722"/>
  </w:style>
  <w:style w:type="character" w:styleId="Hyperlink">
    <w:name w:val="Hyperlink"/>
    <w:basedOn w:val="DefaultParagraphFont"/>
    <w:rsid w:val="00213573"/>
    <w:rPr>
      <w:color w:val="0000FF" w:themeColor="hyperlink"/>
      <w:u w:val="single"/>
    </w:rPr>
  </w:style>
  <w:style w:type="table" w:styleId="TableGrid">
    <w:name w:val="Table Grid"/>
    <w:basedOn w:val="TableNormal"/>
    <w:uiPriority w:val="59"/>
    <w:rsid w:val="001B0AE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A25B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7E2531"/>
    <w:pPr>
      <w:ind w:left="720"/>
      <w:contextualSpacing/>
    </w:pPr>
  </w:style>
  <w:style w:type="character" w:customStyle="1" w:styleId="Heading2Char">
    <w:name w:val="Heading 2 Char"/>
    <w:basedOn w:val="DefaultParagraphFont"/>
    <w:link w:val="Heading2"/>
    <w:uiPriority w:val="9"/>
    <w:rsid w:val="00A25B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3A021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3A021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D2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722"/>
  </w:style>
  <w:style w:type="character" w:styleId="Hyperlink">
    <w:name w:val="Hyperlink"/>
    <w:basedOn w:val="DefaultParagraphFont"/>
    <w:rsid w:val="002135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446">
      <w:bodyDiv w:val="1"/>
      <w:marLeft w:val="0"/>
      <w:marRight w:val="0"/>
      <w:marTop w:val="0"/>
      <w:marBottom w:val="0"/>
      <w:divBdr>
        <w:top w:val="none" w:sz="0" w:space="0" w:color="auto"/>
        <w:left w:val="none" w:sz="0" w:space="0" w:color="auto"/>
        <w:bottom w:val="none" w:sz="0" w:space="0" w:color="auto"/>
        <w:right w:val="none" w:sz="0" w:space="0" w:color="auto"/>
      </w:divBdr>
    </w:div>
    <w:div w:id="84114843">
      <w:bodyDiv w:val="1"/>
      <w:marLeft w:val="0"/>
      <w:marRight w:val="0"/>
      <w:marTop w:val="0"/>
      <w:marBottom w:val="0"/>
      <w:divBdr>
        <w:top w:val="none" w:sz="0" w:space="0" w:color="auto"/>
        <w:left w:val="none" w:sz="0" w:space="0" w:color="auto"/>
        <w:bottom w:val="none" w:sz="0" w:space="0" w:color="auto"/>
        <w:right w:val="none" w:sz="0" w:space="0" w:color="auto"/>
      </w:divBdr>
    </w:div>
    <w:div w:id="113986292">
      <w:bodyDiv w:val="1"/>
      <w:marLeft w:val="0"/>
      <w:marRight w:val="0"/>
      <w:marTop w:val="0"/>
      <w:marBottom w:val="0"/>
      <w:divBdr>
        <w:top w:val="none" w:sz="0" w:space="0" w:color="auto"/>
        <w:left w:val="none" w:sz="0" w:space="0" w:color="auto"/>
        <w:bottom w:val="none" w:sz="0" w:space="0" w:color="auto"/>
        <w:right w:val="none" w:sz="0" w:space="0" w:color="auto"/>
      </w:divBdr>
    </w:div>
    <w:div w:id="301622233">
      <w:bodyDiv w:val="1"/>
      <w:marLeft w:val="0"/>
      <w:marRight w:val="0"/>
      <w:marTop w:val="0"/>
      <w:marBottom w:val="0"/>
      <w:divBdr>
        <w:top w:val="none" w:sz="0" w:space="0" w:color="auto"/>
        <w:left w:val="none" w:sz="0" w:space="0" w:color="auto"/>
        <w:bottom w:val="none" w:sz="0" w:space="0" w:color="auto"/>
        <w:right w:val="none" w:sz="0" w:space="0" w:color="auto"/>
      </w:divBdr>
    </w:div>
    <w:div w:id="426968072">
      <w:bodyDiv w:val="1"/>
      <w:marLeft w:val="0"/>
      <w:marRight w:val="0"/>
      <w:marTop w:val="0"/>
      <w:marBottom w:val="0"/>
      <w:divBdr>
        <w:top w:val="none" w:sz="0" w:space="0" w:color="auto"/>
        <w:left w:val="none" w:sz="0" w:space="0" w:color="auto"/>
        <w:bottom w:val="none" w:sz="0" w:space="0" w:color="auto"/>
        <w:right w:val="none" w:sz="0" w:space="0" w:color="auto"/>
      </w:divBdr>
    </w:div>
    <w:div w:id="478428130">
      <w:bodyDiv w:val="1"/>
      <w:marLeft w:val="0"/>
      <w:marRight w:val="0"/>
      <w:marTop w:val="0"/>
      <w:marBottom w:val="0"/>
      <w:divBdr>
        <w:top w:val="none" w:sz="0" w:space="0" w:color="auto"/>
        <w:left w:val="none" w:sz="0" w:space="0" w:color="auto"/>
        <w:bottom w:val="none" w:sz="0" w:space="0" w:color="auto"/>
        <w:right w:val="none" w:sz="0" w:space="0" w:color="auto"/>
      </w:divBdr>
    </w:div>
    <w:div w:id="588007348">
      <w:bodyDiv w:val="1"/>
      <w:marLeft w:val="0"/>
      <w:marRight w:val="0"/>
      <w:marTop w:val="0"/>
      <w:marBottom w:val="0"/>
      <w:divBdr>
        <w:top w:val="none" w:sz="0" w:space="0" w:color="auto"/>
        <w:left w:val="none" w:sz="0" w:space="0" w:color="auto"/>
        <w:bottom w:val="none" w:sz="0" w:space="0" w:color="auto"/>
        <w:right w:val="none" w:sz="0" w:space="0" w:color="auto"/>
      </w:divBdr>
    </w:div>
    <w:div w:id="642082157">
      <w:bodyDiv w:val="1"/>
      <w:marLeft w:val="0"/>
      <w:marRight w:val="0"/>
      <w:marTop w:val="0"/>
      <w:marBottom w:val="0"/>
      <w:divBdr>
        <w:top w:val="none" w:sz="0" w:space="0" w:color="auto"/>
        <w:left w:val="none" w:sz="0" w:space="0" w:color="auto"/>
        <w:bottom w:val="none" w:sz="0" w:space="0" w:color="auto"/>
        <w:right w:val="none" w:sz="0" w:space="0" w:color="auto"/>
      </w:divBdr>
    </w:div>
    <w:div w:id="657268118">
      <w:bodyDiv w:val="1"/>
      <w:marLeft w:val="0"/>
      <w:marRight w:val="0"/>
      <w:marTop w:val="0"/>
      <w:marBottom w:val="0"/>
      <w:divBdr>
        <w:top w:val="none" w:sz="0" w:space="0" w:color="auto"/>
        <w:left w:val="none" w:sz="0" w:space="0" w:color="auto"/>
        <w:bottom w:val="none" w:sz="0" w:space="0" w:color="auto"/>
        <w:right w:val="none" w:sz="0" w:space="0" w:color="auto"/>
      </w:divBdr>
    </w:div>
    <w:div w:id="711466299">
      <w:bodyDiv w:val="1"/>
      <w:marLeft w:val="0"/>
      <w:marRight w:val="0"/>
      <w:marTop w:val="0"/>
      <w:marBottom w:val="0"/>
      <w:divBdr>
        <w:top w:val="none" w:sz="0" w:space="0" w:color="auto"/>
        <w:left w:val="none" w:sz="0" w:space="0" w:color="auto"/>
        <w:bottom w:val="none" w:sz="0" w:space="0" w:color="auto"/>
        <w:right w:val="none" w:sz="0" w:space="0" w:color="auto"/>
      </w:divBdr>
    </w:div>
    <w:div w:id="797726860">
      <w:bodyDiv w:val="1"/>
      <w:marLeft w:val="0"/>
      <w:marRight w:val="0"/>
      <w:marTop w:val="0"/>
      <w:marBottom w:val="0"/>
      <w:divBdr>
        <w:top w:val="none" w:sz="0" w:space="0" w:color="auto"/>
        <w:left w:val="none" w:sz="0" w:space="0" w:color="auto"/>
        <w:bottom w:val="none" w:sz="0" w:space="0" w:color="auto"/>
        <w:right w:val="none" w:sz="0" w:space="0" w:color="auto"/>
      </w:divBdr>
    </w:div>
    <w:div w:id="1143159954">
      <w:bodyDiv w:val="1"/>
      <w:marLeft w:val="0"/>
      <w:marRight w:val="0"/>
      <w:marTop w:val="0"/>
      <w:marBottom w:val="0"/>
      <w:divBdr>
        <w:top w:val="none" w:sz="0" w:space="0" w:color="auto"/>
        <w:left w:val="none" w:sz="0" w:space="0" w:color="auto"/>
        <w:bottom w:val="none" w:sz="0" w:space="0" w:color="auto"/>
        <w:right w:val="none" w:sz="0" w:space="0" w:color="auto"/>
      </w:divBdr>
    </w:div>
    <w:div w:id="1671638096">
      <w:bodyDiv w:val="1"/>
      <w:marLeft w:val="0"/>
      <w:marRight w:val="0"/>
      <w:marTop w:val="0"/>
      <w:marBottom w:val="0"/>
      <w:divBdr>
        <w:top w:val="none" w:sz="0" w:space="0" w:color="auto"/>
        <w:left w:val="none" w:sz="0" w:space="0" w:color="auto"/>
        <w:bottom w:val="none" w:sz="0" w:space="0" w:color="auto"/>
        <w:right w:val="none" w:sz="0" w:space="0" w:color="auto"/>
      </w:divBdr>
    </w:div>
    <w:div w:id="1790081466">
      <w:bodyDiv w:val="1"/>
      <w:marLeft w:val="0"/>
      <w:marRight w:val="0"/>
      <w:marTop w:val="0"/>
      <w:marBottom w:val="0"/>
      <w:divBdr>
        <w:top w:val="none" w:sz="0" w:space="0" w:color="auto"/>
        <w:left w:val="none" w:sz="0" w:space="0" w:color="auto"/>
        <w:bottom w:val="none" w:sz="0" w:space="0" w:color="auto"/>
        <w:right w:val="none" w:sz="0" w:space="0" w:color="auto"/>
      </w:divBdr>
    </w:div>
    <w:div w:id="1928684349">
      <w:bodyDiv w:val="1"/>
      <w:marLeft w:val="0"/>
      <w:marRight w:val="0"/>
      <w:marTop w:val="0"/>
      <w:marBottom w:val="0"/>
      <w:divBdr>
        <w:top w:val="none" w:sz="0" w:space="0" w:color="auto"/>
        <w:left w:val="none" w:sz="0" w:space="0" w:color="auto"/>
        <w:bottom w:val="none" w:sz="0" w:space="0" w:color="auto"/>
        <w:right w:val="none" w:sz="0" w:space="0" w:color="auto"/>
      </w:divBdr>
    </w:div>
    <w:div w:id="2001275444">
      <w:bodyDiv w:val="1"/>
      <w:marLeft w:val="0"/>
      <w:marRight w:val="0"/>
      <w:marTop w:val="0"/>
      <w:marBottom w:val="0"/>
      <w:divBdr>
        <w:top w:val="none" w:sz="0" w:space="0" w:color="auto"/>
        <w:left w:val="none" w:sz="0" w:space="0" w:color="auto"/>
        <w:bottom w:val="none" w:sz="0" w:space="0" w:color="auto"/>
        <w:right w:val="none" w:sz="0" w:space="0" w:color="auto"/>
      </w:divBdr>
    </w:div>
    <w:div w:id="2013137986">
      <w:bodyDiv w:val="1"/>
      <w:marLeft w:val="0"/>
      <w:marRight w:val="0"/>
      <w:marTop w:val="0"/>
      <w:marBottom w:val="0"/>
      <w:divBdr>
        <w:top w:val="none" w:sz="0" w:space="0" w:color="auto"/>
        <w:left w:val="none" w:sz="0" w:space="0" w:color="auto"/>
        <w:bottom w:val="none" w:sz="0" w:space="0" w:color="auto"/>
        <w:right w:val="none" w:sz="0" w:space="0" w:color="auto"/>
      </w:divBdr>
    </w:div>
    <w:div w:id="20926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s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D665F-327B-4F91-8301-C56E744C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Georgina Georgiadou</cp:lastModifiedBy>
  <cp:revision>15</cp:revision>
  <dcterms:created xsi:type="dcterms:W3CDTF">2012-11-27T08:03:00Z</dcterms:created>
  <dcterms:modified xsi:type="dcterms:W3CDTF">2012-12-07T11:14:00Z</dcterms:modified>
</cp:coreProperties>
</file>