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B5B17" w14:textId="2356F492" w:rsidR="00992A39" w:rsidRDefault="00992A39" w:rsidP="00047FBB">
      <w:pPr>
        <w:tabs>
          <w:tab w:val="left" w:pos="426"/>
        </w:tabs>
        <w:contextualSpacing/>
        <w:jc w:val="both"/>
        <w:rPr>
          <w:rFonts w:asciiTheme="minorHAnsi" w:hAnsiTheme="minorHAnsi" w:cstheme="minorHAnsi"/>
          <w:bCs/>
          <w:sz w:val="24"/>
          <w:szCs w:val="24"/>
          <w:lang w:val="el-GR"/>
        </w:rPr>
      </w:pPr>
    </w:p>
    <w:p w14:paraId="59F1549D" w14:textId="01445F17" w:rsidR="00992A39" w:rsidRDefault="00992A39" w:rsidP="00047FBB">
      <w:pPr>
        <w:tabs>
          <w:tab w:val="left" w:pos="426"/>
        </w:tabs>
        <w:contextualSpacing/>
        <w:jc w:val="both"/>
        <w:rPr>
          <w:rFonts w:asciiTheme="minorHAnsi" w:hAnsiTheme="minorHAnsi" w:cstheme="minorHAnsi"/>
          <w:bCs/>
          <w:sz w:val="24"/>
          <w:szCs w:val="24"/>
          <w:lang w:val="el-GR"/>
        </w:rPr>
      </w:pPr>
    </w:p>
    <w:p w14:paraId="370093A1" w14:textId="4049A4EB" w:rsidR="00992A39" w:rsidRDefault="00992A39" w:rsidP="00047FBB">
      <w:pPr>
        <w:tabs>
          <w:tab w:val="left" w:pos="426"/>
        </w:tabs>
        <w:contextualSpacing/>
        <w:jc w:val="both"/>
        <w:rPr>
          <w:rFonts w:asciiTheme="minorHAnsi" w:hAnsiTheme="minorHAnsi" w:cstheme="minorHAnsi"/>
          <w:bCs/>
          <w:sz w:val="24"/>
          <w:szCs w:val="24"/>
          <w:lang w:val="el-GR"/>
        </w:rPr>
      </w:pPr>
    </w:p>
    <w:p w14:paraId="245EA2CB" w14:textId="7BA4BF33" w:rsidR="00AE0584" w:rsidRPr="00A26066" w:rsidRDefault="0004629A" w:rsidP="00640E8D">
      <w:pPr>
        <w:autoSpaceDE w:val="0"/>
        <w:autoSpaceDN w:val="0"/>
        <w:adjustRightInd w:val="0"/>
        <w:jc w:val="right"/>
        <w:rPr>
          <w:rFonts w:asciiTheme="minorHAnsi" w:eastAsia="CIDFont+F3" w:hAnsiTheme="minorHAnsi" w:cstheme="minorHAnsi"/>
          <w:b/>
          <w:color w:val="000000"/>
          <w:sz w:val="24"/>
          <w:szCs w:val="24"/>
          <w:lang w:val="el-GR"/>
        </w:rPr>
      </w:pPr>
      <w:bookmarkStart w:id="0" w:name="_GoBack"/>
      <w:r w:rsidRPr="00A26066">
        <w:rPr>
          <w:rFonts w:asciiTheme="minorHAnsi" w:eastAsia="CIDFont+F3" w:hAnsiTheme="minorHAnsi" w:cstheme="minorHAnsi"/>
          <w:b/>
          <w:color w:val="000000"/>
          <w:sz w:val="24"/>
          <w:szCs w:val="24"/>
          <w:lang w:val="el-GR"/>
        </w:rPr>
        <w:t>Έντυπο Ε</w:t>
      </w:r>
      <w:r w:rsidR="004C62EC" w:rsidRPr="00A26066">
        <w:rPr>
          <w:rFonts w:asciiTheme="minorHAnsi" w:hAnsiTheme="minorHAnsi" w:cstheme="minorHAnsi"/>
          <w:b/>
          <w:sz w:val="24"/>
          <w:szCs w:val="24"/>
          <w:lang w:val="el-GR"/>
        </w:rPr>
        <w:t>2019-1238-03</w:t>
      </w:r>
    </w:p>
    <w:p w14:paraId="3AB4AA23" w14:textId="02B0C3CF" w:rsidR="00640E8D" w:rsidRPr="00A26066" w:rsidRDefault="00640E8D" w:rsidP="00640E8D">
      <w:pPr>
        <w:autoSpaceDE w:val="0"/>
        <w:autoSpaceDN w:val="0"/>
        <w:adjustRightInd w:val="0"/>
        <w:jc w:val="right"/>
        <w:rPr>
          <w:rFonts w:asciiTheme="minorHAnsi" w:eastAsia="CIDFont+F3" w:hAnsiTheme="minorHAnsi" w:cstheme="minorHAnsi"/>
          <w:b/>
          <w:color w:val="000000"/>
          <w:sz w:val="24"/>
          <w:szCs w:val="24"/>
          <w:lang w:val="el-GR"/>
        </w:rPr>
      </w:pPr>
      <w:r w:rsidRPr="00A26066">
        <w:rPr>
          <w:rFonts w:asciiTheme="minorHAnsi" w:eastAsia="CIDFont+F3" w:hAnsiTheme="minorHAnsi" w:cstheme="minorHAnsi"/>
          <w:b/>
          <w:color w:val="000000"/>
          <w:sz w:val="24"/>
          <w:szCs w:val="24"/>
          <w:lang w:val="el-GR"/>
        </w:rPr>
        <w:t>Ημερ. Δημοσίευσης</w:t>
      </w:r>
      <w:r w:rsidR="00A26066" w:rsidRPr="00A26066">
        <w:rPr>
          <w:rFonts w:asciiTheme="minorHAnsi" w:eastAsia="CIDFont+F3" w:hAnsiTheme="minorHAnsi" w:cstheme="minorHAnsi"/>
          <w:b/>
          <w:color w:val="000000"/>
          <w:sz w:val="24"/>
          <w:szCs w:val="24"/>
          <w:lang w:val="el-GR"/>
        </w:rPr>
        <w:t>:06.12.2024</w:t>
      </w:r>
    </w:p>
    <w:p w14:paraId="520D4660" w14:textId="77777777" w:rsidR="00FA63DB" w:rsidRDefault="00FA63DB" w:rsidP="00640E8D">
      <w:pPr>
        <w:autoSpaceDE w:val="0"/>
        <w:autoSpaceDN w:val="0"/>
        <w:adjustRightInd w:val="0"/>
        <w:jc w:val="center"/>
        <w:rPr>
          <w:rFonts w:asciiTheme="minorHAnsi" w:eastAsia="CIDFont+F3" w:hAnsiTheme="minorHAnsi" w:cstheme="minorHAnsi"/>
          <w:b/>
          <w:color w:val="000000"/>
          <w:sz w:val="24"/>
          <w:szCs w:val="24"/>
          <w:lang w:val="el-GR"/>
        </w:rPr>
      </w:pPr>
    </w:p>
    <w:p w14:paraId="4F195F8A" w14:textId="12689AF4" w:rsidR="00640E8D" w:rsidRPr="00A26066" w:rsidRDefault="00640E8D" w:rsidP="00640E8D">
      <w:pPr>
        <w:autoSpaceDE w:val="0"/>
        <w:autoSpaceDN w:val="0"/>
        <w:adjustRightInd w:val="0"/>
        <w:jc w:val="center"/>
        <w:rPr>
          <w:rFonts w:asciiTheme="minorHAnsi" w:eastAsia="CIDFont+F3" w:hAnsiTheme="minorHAnsi" w:cstheme="minorHAnsi"/>
          <w:b/>
          <w:color w:val="000000"/>
          <w:sz w:val="24"/>
          <w:szCs w:val="24"/>
          <w:lang w:val="el-GR"/>
        </w:rPr>
      </w:pPr>
      <w:r w:rsidRPr="00A26066">
        <w:rPr>
          <w:rFonts w:asciiTheme="minorHAnsi" w:eastAsia="CIDFont+F3" w:hAnsiTheme="minorHAnsi" w:cstheme="minorHAnsi"/>
          <w:b/>
          <w:color w:val="000000"/>
          <w:sz w:val="24"/>
          <w:szCs w:val="24"/>
          <w:lang w:val="el-GR"/>
        </w:rPr>
        <w:t>ΕΝΤΥΠΟ Ε2019-1238-03</w:t>
      </w:r>
    </w:p>
    <w:p w14:paraId="5D9809EE" w14:textId="77777777" w:rsidR="00AE0584" w:rsidRPr="0087361C" w:rsidRDefault="00AE0584" w:rsidP="00AE0584">
      <w:pPr>
        <w:autoSpaceDE w:val="0"/>
        <w:autoSpaceDN w:val="0"/>
        <w:adjustRightInd w:val="0"/>
        <w:jc w:val="both"/>
        <w:rPr>
          <w:rFonts w:ascii="Calibri" w:eastAsia="CIDFont+F3" w:hAnsi="Calibri" w:cs="Calibri"/>
          <w:color w:val="000000"/>
          <w:sz w:val="24"/>
          <w:szCs w:val="24"/>
          <w:lang w:val="el-GR"/>
        </w:rPr>
      </w:pPr>
    </w:p>
    <w:p w14:paraId="2CC1D48A" w14:textId="5B02948F" w:rsidR="00AE0584" w:rsidRPr="006B3004" w:rsidRDefault="00AE0584" w:rsidP="00A03FEB">
      <w:pPr>
        <w:spacing w:after="160"/>
        <w:contextualSpacing/>
        <w:jc w:val="center"/>
        <w:rPr>
          <w:rFonts w:ascii="Calibri" w:eastAsia="Calibri" w:hAnsi="Calibri" w:cs="Calibri"/>
          <w:b/>
          <w:bCs/>
          <w:sz w:val="24"/>
          <w:szCs w:val="24"/>
          <w:lang w:val="el-GR"/>
        </w:rPr>
      </w:pPr>
      <w:r w:rsidRPr="0087361C">
        <w:rPr>
          <w:rFonts w:ascii="Calibri" w:eastAsia="Calibri" w:hAnsi="Calibri" w:cs="Calibri"/>
          <w:b/>
          <w:bCs/>
          <w:sz w:val="24"/>
          <w:szCs w:val="24"/>
          <w:lang w:val="el-GR"/>
        </w:rPr>
        <w:t>ΠΡΟΓΡΑΜΜΑ ΕΛΕΓΧΟΥ ΓΙΑ ΤΟ ΠΕΡΙΕΧΟΜΕΝΟ ΤΟΥ</w:t>
      </w:r>
      <w:r w:rsidR="004B24B4">
        <w:rPr>
          <w:rFonts w:ascii="Calibri" w:eastAsia="Calibri" w:hAnsi="Calibri" w:cs="Calibri"/>
          <w:b/>
          <w:bCs/>
          <w:sz w:val="24"/>
          <w:szCs w:val="24"/>
          <w:lang w:val="el-GR"/>
        </w:rPr>
        <w:t xml:space="preserve"> ΕΓΓΡΑΦΟΥ ΒΑΣΙΚΩΝ ΠΛΗΡΟΦΟΡΙΩΝ </w:t>
      </w:r>
      <w:r w:rsidRPr="0087361C">
        <w:rPr>
          <w:rFonts w:ascii="Calibri" w:eastAsia="Calibri" w:hAnsi="Calibri" w:cs="Calibri"/>
          <w:b/>
          <w:bCs/>
          <w:sz w:val="24"/>
          <w:szCs w:val="24"/>
          <w:lang w:val="en-GB"/>
        </w:rPr>
        <w:t>PEPP</w:t>
      </w:r>
      <w:r w:rsidR="006B3004">
        <w:rPr>
          <w:rFonts w:ascii="Calibri" w:eastAsia="Calibri" w:hAnsi="Calibri" w:cs="Calibri"/>
          <w:b/>
          <w:bCs/>
          <w:sz w:val="24"/>
          <w:szCs w:val="24"/>
          <w:lang w:val="el-GR"/>
        </w:rPr>
        <w:t xml:space="preserve"> (</w:t>
      </w:r>
      <w:r w:rsidR="006B3004">
        <w:rPr>
          <w:rFonts w:ascii="Calibri" w:eastAsia="Calibri" w:hAnsi="Calibri" w:cs="Calibri"/>
          <w:b/>
          <w:bCs/>
          <w:sz w:val="24"/>
          <w:szCs w:val="24"/>
        </w:rPr>
        <w:t>PEPP</w:t>
      </w:r>
      <w:r w:rsidR="006B3004" w:rsidRPr="006B3004">
        <w:rPr>
          <w:rFonts w:ascii="Calibri" w:eastAsia="Calibri" w:hAnsi="Calibri" w:cs="Calibri"/>
          <w:b/>
          <w:bCs/>
          <w:sz w:val="24"/>
          <w:szCs w:val="24"/>
          <w:lang w:val="el-GR"/>
        </w:rPr>
        <w:t xml:space="preserve"> </w:t>
      </w:r>
      <w:r w:rsidR="006B3004">
        <w:rPr>
          <w:rFonts w:ascii="Calibri" w:eastAsia="Calibri" w:hAnsi="Calibri" w:cs="Calibri"/>
          <w:b/>
          <w:bCs/>
          <w:sz w:val="24"/>
          <w:szCs w:val="24"/>
        </w:rPr>
        <w:t>KID</w:t>
      </w:r>
      <w:r w:rsidR="006B3004" w:rsidRPr="006B3004">
        <w:rPr>
          <w:rFonts w:ascii="Calibri" w:eastAsia="Calibri" w:hAnsi="Calibri" w:cs="Calibri"/>
          <w:b/>
          <w:bCs/>
          <w:sz w:val="24"/>
          <w:szCs w:val="24"/>
          <w:lang w:val="el-GR"/>
        </w:rPr>
        <w:t>)</w:t>
      </w:r>
    </w:p>
    <w:p w14:paraId="68571951" w14:textId="2631D220" w:rsidR="00A03FEB" w:rsidRDefault="00A03FEB" w:rsidP="00A03FEB">
      <w:pPr>
        <w:spacing w:after="160"/>
        <w:contextualSpacing/>
        <w:jc w:val="center"/>
        <w:rPr>
          <w:rFonts w:ascii="Calibri" w:hAnsi="Calibri" w:cs="Calibri"/>
          <w:b/>
          <w:bCs/>
          <w:color w:val="000000"/>
          <w:sz w:val="24"/>
          <w:szCs w:val="24"/>
          <w:lang w:val="el-GR"/>
        </w:rPr>
      </w:pPr>
      <w:r>
        <w:rPr>
          <w:rFonts w:ascii="Calibri" w:eastAsia="Calibri" w:hAnsi="Calibri" w:cs="Calibri"/>
          <w:b/>
          <w:bCs/>
          <w:sz w:val="24"/>
          <w:szCs w:val="24"/>
          <w:lang w:val="el-GR"/>
        </w:rPr>
        <w:t xml:space="preserve">ΠΟΥ ΣΥΝΟΔΕΥΕΙ </w:t>
      </w:r>
      <w:r w:rsidR="003A4077">
        <w:rPr>
          <w:rFonts w:ascii="Calibri" w:eastAsia="Calibri" w:hAnsi="Calibri" w:cs="Calibri"/>
          <w:b/>
          <w:bCs/>
          <w:sz w:val="24"/>
          <w:szCs w:val="24"/>
          <w:lang w:val="el-GR"/>
        </w:rPr>
        <w:t xml:space="preserve">ΤΗΝ </w:t>
      </w:r>
      <w:r>
        <w:rPr>
          <w:rFonts w:ascii="Calibri" w:eastAsia="Calibri" w:hAnsi="Calibri" w:cs="Calibri"/>
          <w:b/>
          <w:bCs/>
          <w:sz w:val="24"/>
          <w:szCs w:val="24"/>
          <w:lang w:val="el-GR"/>
        </w:rPr>
        <w:t xml:space="preserve">ΑΙΤΗΣΗ </w:t>
      </w:r>
      <w:r>
        <w:rPr>
          <w:rFonts w:ascii="Calibri" w:hAnsi="Calibri" w:cs="Calibri"/>
          <w:b/>
          <w:sz w:val="24"/>
          <w:szCs w:val="24"/>
          <w:lang w:val="el-GR"/>
        </w:rPr>
        <w:t xml:space="preserve">ΓΙΑ ΤΗΝ </w:t>
      </w:r>
      <w:r w:rsidR="003A4077">
        <w:rPr>
          <w:rFonts w:ascii="Calibri" w:hAnsi="Calibri" w:cs="Calibri"/>
          <w:b/>
          <w:sz w:val="24"/>
          <w:szCs w:val="24"/>
          <w:lang w:val="el-GR"/>
        </w:rPr>
        <w:t xml:space="preserve">ΚΑΤΑΧΩΡΙΣΗ </w:t>
      </w:r>
      <w:r>
        <w:rPr>
          <w:rFonts w:ascii="Calibri" w:hAnsi="Calibri" w:cs="Calibri"/>
          <w:b/>
          <w:sz w:val="24"/>
          <w:szCs w:val="24"/>
          <w:lang w:val="el-GR"/>
        </w:rPr>
        <w:t>ΠΑΝΕΥΡΩΠΑΙΚΟΥ ΑΤΟΜΙΚΟΥ ΣΥΝΤΑΞΙΟΔΟΤΙΚΟΥ ΠΡΟΙΟΝΤΟΣ (</w:t>
      </w:r>
      <w:r>
        <w:rPr>
          <w:rFonts w:ascii="Calibri" w:hAnsi="Calibri" w:cs="Calibri"/>
          <w:b/>
          <w:sz w:val="24"/>
          <w:szCs w:val="24"/>
        </w:rPr>
        <w:t>PEPP</w:t>
      </w:r>
      <w:r>
        <w:rPr>
          <w:rFonts w:ascii="Calibri" w:hAnsi="Calibri" w:cs="Calibri"/>
          <w:b/>
          <w:sz w:val="24"/>
          <w:szCs w:val="24"/>
          <w:lang w:val="el-GR"/>
        </w:rPr>
        <w:t xml:space="preserve">) </w:t>
      </w:r>
    </w:p>
    <w:p w14:paraId="49A3C630" w14:textId="77777777" w:rsidR="00AE0584" w:rsidRPr="00A70931" w:rsidRDefault="00AE0584" w:rsidP="00AE0584">
      <w:pPr>
        <w:autoSpaceDE w:val="0"/>
        <w:autoSpaceDN w:val="0"/>
        <w:adjustRightInd w:val="0"/>
        <w:jc w:val="both"/>
        <w:rPr>
          <w:rFonts w:asciiTheme="minorHAnsi" w:hAnsiTheme="minorHAnsi" w:cstheme="minorHAnsi"/>
          <w:b/>
          <w:sz w:val="22"/>
          <w:szCs w:val="22"/>
          <w:u w:val="single"/>
          <w:lang w:val="el-GR"/>
        </w:rPr>
      </w:pPr>
      <w:r w:rsidRPr="00A70931">
        <w:rPr>
          <w:rFonts w:asciiTheme="minorHAnsi" w:hAnsiTheme="minorHAnsi" w:cstheme="minorHAnsi"/>
          <w:b/>
          <w:sz w:val="22"/>
          <w:szCs w:val="22"/>
          <w:u w:val="single"/>
          <w:lang w:val="el-GR"/>
        </w:rPr>
        <w:t>Σημειώσεις:</w:t>
      </w:r>
    </w:p>
    <w:p w14:paraId="2AF6FB87" w14:textId="77777777" w:rsidR="00AE0584" w:rsidRPr="00A70931" w:rsidRDefault="00AE0584" w:rsidP="00AE0584">
      <w:pPr>
        <w:autoSpaceDE w:val="0"/>
        <w:autoSpaceDN w:val="0"/>
        <w:adjustRightInd w:val="0"/>
        <w:jc w:val="both"/>
        <w:rPr>
          <w:rFonts w:asciiTheme="minorHAnsi" w:hAnsiTheme="minorHAnsi" w:cstheme="minorHAnsi"/>
          <w:b/>
          <w:sz w:val="22"/>
          <w:szCs w:val="22"/>
          <w:lang w:val="el-GR"/>
        </w:rPr>
      </w:pPr>
    </w:p>
    <w:p w14:paraId="601C2695" w14:textId="7A57D43F" w:rsidR="00AE0584" w:rsidRPr="00A70931" w:rsidRDefault="00AE0584" w:rsidP="00AE0584">
      <w:pPr>
        <w:numPr>
          <w:ilvl w:val="0"/>
          <w:numId w:val="2"/>
        </w:numPr>
        <w:autoSpaceDE w:val="0"/>
        <w:autoSpaceDN w:val="0"/>
        <w:adjustRightInd w:val="0"/>
        <w:spacing w:after="160" w:line="256" w:lineRule="auto"/>
        <w:contextualSpacing/>
        <w:jc w:val="both"/>
        <w:rPr>
          <w:rFonts w:asciiTheme="minorHAnsi" w:eastAsia="CIDFont+F3" w:hAnsiTheme="minorHAnsi" w:cstheme="minorHAnsi"/>
          <w:b/>
          <w:color w:val="000000"/>
          <w:sz w:val="22"/>
          <w:szCs w:val="22"/>
          <w:lang w:val="el-GR"/>
        </w:rPr>
      </w:pPr>
      <w:r w:rsidRPr="00A70931">
        <w:rPr>
          <w:rFonts w:asciiTheme="minorHAnsi" w:eastAsia="CIDFont+F3" w:hAnsiTheme="minorHAnsi" w:cstheme="minorHAnsi"/>
          <w:b/>
          <w:color w:val="000000"/>
          <w:sz w:val="22"/>
          <w:szCs w:val="22"/>
          <w:lang w:val="el-GR"/>
        </w:rPr>
        <w:t xml:space="preserve">Σύμφωνα με τα άρθρα 26, 27 και 28 του </w:t>
      </w:r>
      <w:r w:rsidR="004B24B4" w:rsidRPr="00A70931">
        <w:rPr>
          <w:rFonts w:asciiTheme="minorHAnsi" w:eastAsia="CIDFont+F3" w:hAnsiTheme="minorHAnsi" w:cstheme="minorHAnsi"/>
          <w:b/>
          <w:color w:val="000000"/>
          <w:sz w:val="22"/>
          <w:szCs w:val="22"/>
          <w:lang w:val="el-GR"/>
        </w:rPr>
        <w:t>Κανονισμ</w:t>
      </w:r>
      <w:r w:rsidR="004B24B4">
        <w:rPr>
          <w:rFonts w:asciiTheme="minorHAnsi" w:eastAsia="CIDFont+F3" w:hAnsiTheme="minorHAnsi" w:cstheme="minorHAnsi"/>
          <w:b/>
          <w:color w:val="000000"/>
          <w:sz w:val="22"/>
          <w:szCs w:val="22"/>
          <w:lang w:val="el-GR"/>
        </w:rPr>
        <w:t>ού</w:t>
      </w:r>
      <w:r w:rsidR="004B24B4" w:rsidRPr="00A70931">
        <w:rPr>
          <w:rFonts w:asciiTheme="minorHAnsi" w:eastAsia="Calibri" w:hAnsiTheme="minorHAnsi" w:cstheme="minorHAnsi"/>
          <w:b/>
          <w:sz w:val="22"/>
          <w:szCs w:val="22"/>
          <w:lang w:val="el-GR"/>
        </w:rPr>
        <w:t xml:space="preserve"> </w:t>
      </w:r>
      <w:r w:rsidRPr="00A70931">
        <w:rPr>
          <w:rFonts w:asciiTheme="minorHAnsi" w:eastAsia="Calibri" w:hAnsiTheme="minorHAnsi" w:cstheme="minorHAnsi"/>
          <w:b/>
          <w:sz w:val="22"/>
          <w:szCs w:val="22"/>
          <w:lang w:val="el-GR"/>
        </w:rPr>
        <w:t>(</w:t>
      </w:r>
      <w:r w:rsidRPr="00A70931">
        <w:rPr>
          <w:rFonts w:asciiTheme="minorHAnsi" w:eastAsia="Calibri" w:hAnsiTheme="minorHAnsi" w:cstheme="minorHAnsi"/>
          <w:b/>
          <w:sz w:val="22"/>
          <w:szCs w:val="22"/>
        </w:rPr>
        <w:t>EE</w:t>
      </w:r>
      <w:r w:rsidRPr="00A70931">
        <w:rPr>
          <w:rFonts w:asciiTheme="minorHAnsi" w:eastAsia="Calibri" w:hAnsiTheme="minorHAnsi" w:cstheme="minorHAnsi"/>
          <w:b/>
          <w:sz w:val="22"/>
          <w:szCs w:val="22"/>
          <w:lang w:val="el-GR"/>
        </w:rPr>
        <w:t>) 2019/1238 (ο ‘Κανονισμός’):</w:t>
      </w:r>
    </w:p>
    <w:p w14:paraId="33011957" w14:textId="77777777" w:rsidR="00AE0584" w:rsidRPr="00A70931" w:rsidRDefault="00AE0584" w:rsidP="00AE0584">
      <w:pPr>
        <w:autoSpaceDE w:val="0"/>
        <w:autoSpaceDN w:val="0"/>
        <w:adjustRightInd w:val="0"/>
        <w:ind w:left="720"/>
        <w:contextualSpacing/>
        <w:jc w:val="both"/>
        <w:rPr>
          <w:rFonts w:asciiTheme="minorHAnsi" w:hAnsiTheme="minorHAnsi" w:cstheme="minorHAnsi"/>
          <w:b/>
          <w:sz w:val="22"/>
          <w:szCs w:val="22"/>
          <w:lang w:val="el-GR"/>
        </w:rPr>
      </w:pPr>
    </w:p>
    <w:p w14:paraId="1925D637" w14:textId="77777777" w:rsidR="00A70931" w:rsidRPr="00A70931" w:rsidRDefault="00AE0584" w:rsidP="00A70931">
      <w:pPr>
        <w:numPr>
          <w:ilvl w:val="0"/>
          <w:numId w:val="3"/>
        </w:numPr>
        <w:autoSpaceDE w:val="0"/>
        <w:autoSpaceDN w:val="0"/>
        <w:adjustRightInd w:val="0"/>
        <w:spacing w:after="160" w:line="256" w:lineRule="auto"/>
        <w:contextualSpacing/>
        <w:jc w:val="both"/>
        <w:rPr>
          <w:rFonts w:asciiTheme="minorHAnsi" w:eastAsia="Calibri" w:hAnsiTheme="minorHAnsi" w:cstheme="minorHAnsi"/>
          <w:b/>
          <w:sz w:val="22"/>
          <w:szCs w:val="22"/>
          <w:lang w:val="el-GR"/>
        </w:rPr>
      </w:pPr>
      <w:r w:rsidRPr="00A70931">
        <w:rPr>
          <w:rFonts w:asciiTheme="minorHAnsi" w:eastAsia="CIDFont+F3" w:hAnsiTheme="minorHAnsi" w:cstheme="minorHAnsi"/>
          <w:b/>
          <w:color w:val="000000"/>
          <w:sz w:val="22"/>
          <w:szCs w:val="22"/>
          <w:lang w:val="el-GR"/>
        </w:rPr>
        <w:t>Το PEPP KID είναι αυτοτελές έγγραφο, σαφώς διακριτό από υλικά εμπορικής προώθησης. Δεν περιέχει παραπομπές σε υλικό εμπορικής προώθησης. Μπορεί να περιέχει παραπομπές σε άλλα έγγραφα, συμπεριλαμβανομένου κατά περίπτωση ενός ενημερωτικού δελτίου, μόνον όταν οι παραπομπές αυτές σχετίζονται με τις πληροφορίες που πρέπει να περιλαμβάνονται στο PEPP KID σύμφωνα με τον Κανονισμό</w:t>
      </w:r>
      <w:r w:rsidRPr="00A70931">
        <w:rPr>
          <w:rFonts w:asciiTheme="minorHAnsi" w:eastAsia="Calibri" w:hAnsiTheme="minorHAnsi" w:cstheme="minorHAnsi"/>
          <w:b/>
          <w:sz w:val="22"/>
          <w:szCs w:val="22"/>
          <w:lang w:val="el-GR"/>
        </w:rPr>
        <w:t>.</w:t>
      </w:r>
    </w:p>
    <w:p w14:paraId="1B9A4491" w14:textId="77777777" w:rsidR="00A70931" w:rsidRPr="00A70931" w:rsidRDefault="00A70931" w:rsidP="00A70931">
      <w:pPr>
        <w:numPr>
          <w:ilvl w:val="0"/>
          <w:numId w:val="3"/>
        </w:numPr>
        <w:autoSpaceDE w:val="0"/>
        <w:autoSpaceDN w:val="0"/>
        <w:adjustRightInd w:val="0"/>
        <w:spacing w:after="160" w:line="256" w:lineRule="auto"/>
        <w:contextualSpacing/>
        <w:jc w:val="both"/>
        <w:rPr>
          <w:rFonts w:asciiTheme="minorHAnsi" w:eastAsia="Calibri" w:hAnsiTheme="minorHAnsi" w:cstheme="minorHAnsi"/>
          <w:b/>
          <w:sz w:val="22"/>
          <w:szCs w:val="22"/>
          <w:lang w:val="el-GR"/>
        </w:rPr>
      </w:pPr>
      <w:r w:rsidRPr="00A70931">
        <w:rPr>
          <w:rFonts w:asciiTheme="minorHAnsi" w:hAnsiTheme="minorHAnsi" w:cstheme="minorHAnsi"/>
          <w:b/>
          <w:sz w:val="22"/>
          <w:szCs w:val="22"/>
          <w:lang w:val="el-GR"/>
        </w:rPr>
        <w:t xml:space="preserve">Το </w:t>
      </w:r>
      <w:r w:rsidRPr="00A70931">
        <w:rPr>
          <w:rFonts w:asciiTheme="minorHAnsi" w:hAnsiTheme="minorHAnsi" w:cstheme="minorHAnsi"/>
          <w:b/>
          <w:sz w:val="22"/>
          <w:szCs w:val="22"/>
        </w:rPr>
        <w:t>PEPP</w:t>
      </w:r>
      <w:r w:rsidRPr="00A70931">
        <w:rPr>
          <w:rFonts w:asciiTheme="minorHAnsi" w:hAnsiTheme="minorHAnsi" w:cstheme="minorHAnsi"/>
          <w:b/>
          <w:sz w:val="22"/>
          <w:szCs w:val="22"/>
          <w:lang w:val="el-GR"/>
        </w:rPr>
        <w:t xml:space="preserve"> </w:t>
      </w:r>
      <w:r w:rsidRPr="00A70931">
        <w:rPr>
          <w:rFonts w:asciiTheme="minorHAnsi" w:hAnsiTheme="minorHAnsi" w:cstheme="minorHAnsi"/>
          <w:b/>
          <w:sz w:val="22"/>
          <w:szCs w:val="22"/>
        </w:rPr>
        <w:t>KID</w:t>
      </w:r>
      <w:r w:rsidRPr="00A70931">
        <w:rPr>
          <w:rFonts w:asciiTheme="minorHAnsi" w:hAnsiTheme="minorHAnsi" w:cstheme="minorHAnsi"/>
          <w:b/>
          <w:sz w:val="22"/>
          <w:szCs w:val="22"/>
          <w:lang w:val="el-GR"/>
        </w:rPr>
        <w:t xml:space="preserve"> καταρτίζεται υπό μορφή σύντομου εγγράφου που συντάσσεται με περιεκτικό τρόπο. Αυτό: </w:t>
      </w:r>
    </w:p>
    <w:p w14:paraId="3624485C" w14:textId="77777777" w:rsidR="00A70931" w:rsidRPr="00A70931" w:rsidRDefault="00A70931" w:rsidP="00A70931">
      <w:pPr>
        <w:autoSpaceDE w:val="0"/>
        <w:autoSpaceDN w:val="0"/>
        <w:adjustRightInd w:val="0"/>
        <w:spacing w:after="160" w:line="256" w:lineRule="auto"/>
        <w:ind w:left="1440"/>
        <w:contextualSpacing/>
        <w:jc w:val="both"/>
        <w:rPr>
          <w:rFonts w:asciiTheme="minorHAnsi" w:hAnsiTheme="minorHAnsi" w:cstheme="minorHAnsi"/>
          <w:b/>
          <w:sz w:val="22"/>
          <w:szCs w:val="22"/>
          <w:lang w:val="el-GR"/>
        </w:rPr>
      </w:pPr>
      <w:r w:rsidRPr="00A70931">
        <w:rPr>
          <w:rFonts w:asciiTheme="minorHAnsi" w:hAnsiTheme="minorHAnsi" w:cstheme="minorHAnsi"/>
          <w:b/>
          <w:sz w:val="22"/>
          <w:szCs w:val="22"/>
          <w:lang w:val="el-GR"/>
        </w:rPr>
        <w:t xml:space="preserve">α) παρουσιάζεται και είναι διαμορφωμένο έτσι ώστε να είναι ευανάγνωστο, με χαρακτήρες αναγνώσιμου μεγέθους, </w:t>
      </w:r>
    </w:p>
    <w:p w14:paraId="3D98226B" w14:textId="77777777" w:rsidR="00A70931" w:rsidRPr="00A70931" w:rsidRDefault="00A70931" w:rsidP="00A70931">
      <w:pPr>
        <w:autoSpaceDE w:val="0"/>
        <w:autoSpaceDN w:val="0"/>
        <w:adjustRightInd w:val="0"/>
        <w:spacing w:after="160" w:line="256" w:lineRule="auto"/>
        <w:ind w:left="1440"/>
        <w:contextualSpacing/>
        <w:jc w:val="both"/>
        <w:rPr>
          <w:rFonts w:asciiTheme="minorHAnsi" w:hAnsiTheme="minorHAnsi" w:cstheme="minorHAnsi"/>
          <w:b/>
          <w:sz w:val="22"/>
          <w:szCs w:val="22"/>
          <w:lang w:val="el-GR"/>
        </w:rPr>
      </w:pPr>
      <w:r w:rsidRPr="00A70931">
        <w:rPr>
          <w:rFonts w:asciiTheme="minorHAnsi" w:hAnsiTheme="minorHAnsi" w:cstheme="minorHAnsi"/>
          <w:b/>
          <w:sz w:val="22"/>
          <w:szCs w:val="22"/>
          <w:lang w:val="el-GR"/>
        </w:rPr>
        <w:t xml:space="preserve">β) εστιάζει στις βασικές πληροφορίες που χρειάζονται οι πελάτες </w:t>
      </w:r>
      <w:r w:rsidRPr="00A70931">
        <w:rPr>
          <w:rFonts w:asciiTheme="minorHAnsi" w:hAnsiTheme="minorHAnsi" w:cstheme="minorHAnsi"/>
          <w:b/>
          <w:sz w:val="22"/>
          <w:szCs w:val="22"/>
        </w:rPr>
        <w:t>PEPP</w:t>
      </w:r>
      <w:r w:rsidRPr="00A70931">
        <w:rPr>
          <w:rFonts w:asciiTheme="minorHAnsi" w:hAnsiTheme="minorHAnsi" w:cstheme="minorHAnsi"/>
          <w:b/>
          <w:sz w:val="22"/>
          <w:szCs w:val="22"/>
          <w:lang w:val="el-GR"/>
        </w:rPr>
        <w:t xml:space="preserve">, </w:t>
      </w:r>
    </w:p>
    <w:p w14:paraId="538CC670" w14:textId="3D7654CA" w:rsidR="00A70931" w:rsidRPr="00A70931" w:rsidRDefault="00A70931" w:rsidP="00A70931">
      <w:pPr>
        <w:autoSpaceDE w:val="0"/>
        <w:autoSpaceDN w:val="0"/>
        <w:adjustRightInd w:val="0"/>
        <w:spacing w:after="160" w:line="256" w:lineRule="auto"/>
        <w:ind w:left="1440"/>
        <w:contextualSpacing/>
        <w:jc w:val="both"/>
        <w:rPr>
          <w:rFonts w:asciiTheme="minorHAnsi" w:eastAsia="Calibri" w:hAnsiTheme="minorHAnsi" w:cstheme="minorHAnsi"/>
          <w:b/>
          <w:sz w:val="22"/>
          <w:szCs w:val="22"/>
          <w:lang w:val="el-GR"/>
        </w:rPr>
      </w:pPr>
      <w:r w:rsidRPr="00A70931">
        <w:rPr>
          <w:rFonts w:asciiTheme="minorHAnsi" w:hAnsiTheme="minorHAnsi" w:cstheme="minorHAnsi"/>
          <w:b/>
          <w:sz w:val="22"/>
          <w:szCs w:val="22"/>
          <w:lang w:val="el-GR"/>
        </w:rPr>
        <w:t xml:space="preserve">γ) είναι διατυπωμένο με σαφήνεια και γραμμένο σε γλώσσα και ύφος που διευκολύνει την κατανόηση των πληροφοριών, συγκεκριμένα σε γλώσσα που είναι σαφής, κατανοητή και περιεκτική. </w:t>
      </w:r>
    </w:p>
    <w:p w14:paraId="03A9BDDC" w14:textId="46891F8E" w:rsidR="00A70931" w:rsidRPr="00A70931" w:rsidRDefault="00A70931" w:rsidP="00A70931">
      <w:pPr>
        <w:numPr>
          <w:ilvl w:val="0"/>
          <w:numId w:val="3"/>
        </w:numPr>
        <w:autoSpaceDE w:val="0"/>
        <w:autoSpaceDN w:val="0"/>
        <w:adjustRightInd w:val="0"/>
        <w:spacing w:after="160" w:line="256" w:lineRule="auto"/>
        <w:contextualSpacing/>
        <w:jc w:val="both"/>
        <w:rPr>
          <w:rFonts w:asciiTheme="minorHAnsi" w:eastAsia="Calibri" w:hAnsiTheme="minorHAnsi" w:cstheme="minorHAnsi"/>
          <w:b/>
          <w:sz w:val="22"/>
          <w:szCs w:val="22"/>
          <w:lang w:val="el-GR"/>
        </w:rPr>
      </w:pPr>
      <w:r w:rsidRPr="00A70931">
        <w:rPr>
          <w:rFonts w:asciiTheme="minorHAnsi" w:eastAsia="Calibri" w:hAnsiTheme="minorHAnsi" w:cstheme="minorHAnsi"/>
          <w:b/>
          <w:sz w:val="22"/>
          <w:szCs w:val="22"/>
          <w:lang w:val="el-GR"/>
        </w:rPr>
        <w:t>Εάν χρησιμοποιούνται χρώματα στο PEPP KID, η ευκολία κατανόησης των πληροφοριών δεν πρέπει να μειώνεται σε περίπτωση ασπρόμαυρης εκτύπωσης ή φωτοτύπησης του εγγράφου βασικών πληροφοριών.</w:t>
      </w:r>
    </w:p>
    <w:p w14:paraId="1BFAC38D" w14:textId="77777777" w:rsidR="00A70931" w:rsidRPr="00A70931" w:rsidRDefault="00A70931" w:rsidP="00A70931">
      <w:pPr>
        <w:numPr>
          <w:ilvl w:val="0"/>
          <w:numId w:val="3"/>
        </w:numPr>
        <w:autoSpaceDE w:val="0"/>
        <w:autoSpaceDN w:val="0"/>
        <w:adjustRightInd w:val="0"/>
        <w:spacing w:after="160" w:line="256" w:lineRule="auto"/>
        <w:contextualSpacing/>
        <w:jc w:val="both"/>
        <w:rPr>
          <w:rFonts w:asciiTheme="minorHAnsi" w:eastAsia="Calibri" w:hAnsiTheme="minorHAnsi" w:cstheme="minorHAnsi"/>
          <w:b/>
          <w:sz w:val="22"/>
          <w:szCs w:val="22"/>
          <w:lang w:val="el-GR"/>
        </w:rPr>
      </w:pPr>
      <w:r w:rsidRPr="00A70931">
        <w:rPr>
          <w:rFonts w:asciiTheme="minorHAnsi" w:eastAsia="Calibri" w:hAnsiTheme="minorHAnsi" w:cstheme="minorHAnsi"/>
          <w:b/>
          <w:sz w:val="22"/>
          <w:szCs w:val="22"/>
          <w:lang w:val="el-GR"/>
        </w:rPr>
        <w:t xml:space="preserve">Όταν το εταιρικό σήμα ή ο λογότυπος του παρόχου </w:t>
      </w:r>
      <w:r w:rsidRPr="00A70931">
        <w:rPr>
          <w:rFonts w:asciiTheme="minorHAnsi" w:eastAsia="Calibri" w:hAnsiTheme="minorHAnsi" w:cstheme="minorHAnsi"/>
          <w:b/>
          <w:sz w:val="22"/>
          <w:szCs w:val="22"/>
        </w:rPr>
        <w:t>PEPP</w:t>
      </w:r>
      <w:r w:rsidRPr="00A70931">
        <w:rPr>
          <w:rFonts w:asciiTheme="minorHAnsi" w:eastAsia="Calibri" w:hAnsiTheme="minorHAnsi" w:cstheme="minorHAnsi"/>
          <w:b/>
          <w:sz w:val="22"/>
          <w:szCs w:val="22"/>
          <w:lang w:val="el-GR"/>
        </w:rPr>
        <w:t xml:space="preserve"> ή του ομίλου στον οποίο αυτός ανήκει, χρησιμοποιούνται στο </w:t>
      </w:r>
      <w:r w:rsidRPr="00A70931">
        <w:rPr>
          <w:rFonts w:asciiTheme="minorHAnsi" w:eastAsia="Calibri" w:hAnsiTheme="minorHAnsi" w:cstheme="minorHAnsi"/>
          <w:b/>
          <w:sz w:val="22"/>
          <w:szCs w:val="22"/>
        </w:rPr>
        <w:t>PEPP</w:t>
      </w:r>
      <w:r w:rsidRPr="00A70931">
        <w:rPr>
          <w:rFonts w:asciiTheme="minorHAnsi" w:eastAsia="Calibri" w:hAnsiTheme="minorHAnsi" w:cstheme="minorHAnsi"/>
          <w:b/>
          <w:sz w:val="22"/>
          <w:szCs w:val="22"/>
          <w:lang w:val="el-GR"/>
        </w:rPr>
        <w:t xml:space="preserve"> </w:t>
      </w:r>
      <w:r w:rsidRPr="00A70931">
        <w:rPr>
          <w:rFonts w:asciiTheme="minorHAnsi" w:eastAsia="Calibri" w:hAnsiTheme="minorHAnsi" w:cstheme="minorHAnsi"/>
          <w:b/>
          <w:sz w:val="22"/>
          <w:szCs w:val="22"/>
        </w:rPr>
        <w:t>KID</w:t>
      </w:r>
      <w:r w:rsidRPr="00A70931">
        <w:rPr>
          <w:rFonts w:asciiTheme="minorHAnsi" w:eastAsia="Calibri" w:hAnsiTheme="minorHAnsi" w:cstheme="minorHAnsi"/>
          <w:b/>
          <w:sz w:val="22"/>
          <w:szCs w:val="22"/>
          <w:lang w:val="el-GR"/>
        </w:rPr>
        <w:t>, αυτά δεν πρέπει να αποσπούν την προσοχή από τις πληροφορίες που περιέχονται στο έγγραφο ή να αποκρύπτουν το κείμενο.</w:t>
      </w:r>
    </w:p>
    <w:p w14:paraId="4D7A9FBB" w14:textId="4592635D" w:rsidR="00AE0584" w:rsidRPr="00A70931" w:rsidRDefault="00AE0584" w:rsidP="00A70931">
      <w:pPr>
        <w:numPr>
          <w:ilvl w:val="0"/>
          <w:numId w:val="3"/>
        </w:numPr>
        <w:autoSpaceDE w:val="0"/>
        <w:autoSpaceDN w:val="0"/>
        <w:adjustRightInd w:val="0"/>
        <w:spacing w:after="160" w:line="256" w:lineRule="auto"/>
        <w:contextualSpacing/>
        <w:jc w:val="both"/>
        <w:rPr>
          <w:rFonts w:ascii="Calibri" w:eastAsia="Calibri" w:hAnsi="Calibri"/>
          <w:b/>
          <w:sz w:val="22"/>
          <w:szCs w:val="22"/>
          <w:lang w:val="el-GR"/>
        </w:rPr>
      </w:pPr>
      <w:r w:rsidRPr="00A70931">
        <w:rPr>
          <w:rFonts w:asciiTheme="minorHAnsi" w:eastAsia="Calibri" w:hAnsiTheme="minorHAnsi" w:cstheme="minorHAnsi"/>
          <w:b/>
          <w:sz w:val="22"/>
          <w:szCs w:val="22"/>
          <w:lang w:val="el-GR"/>
        </w:rPr>
        <w:t xml:space="preserve">Το </w:t>
      </w:r>
      <w:r w:rsidRPr="00A70931">
        <w:rPr>
          <w:rFonts w:asciiTheme="minorHAnsi" w:eastAsia="Calibri" w:hAnsiTheme="minorHAnsi" w:cstheme="minorHAnsi"/>
          <w:b/>
          <w:sz w:val="22"/>
          <w:szCs w:val="22"/>
        </w:rPr>
        <w:t>PEPP</w:t>
      </w:r>
      <w:r w:rsidRPr="00A70931">
        <w:rPr>
          <w:rFonts w:asciiTheme="minorHAnsi" w:eastAsia="Calibri" w:hAnsiTheme="minorHAnsi" w:cstheme="minorHAnsi"/>
          <w:b/>
          <w:sz w:val="22"/>
          <w:szCs w:val="22"/>
          <w:lang w:val="el-GR"/>
        </w:rPr>
        <w:t xml:space="preserve"> </w:t>
      </w:r>
      <w:r w:rsidRPr="00A70931">
        <w:rPr>
          <w:rFonts w:asciiTheme="minorHAnsi" w:eastAsia="Calibri" w:hAnsiTheme="minorHAnsi" w:cstheme="minorHAnsi"/>
          <w:b/>
          <w:sz w:val="22"/>
          <w:szCs w:val="22"/>
        </w:rPr>
        <w:t>KID</w:t>
      </w:r>
      <w:r w:rsidRPr="00A70931">
        <w:rPr>
          <w:rFonts w:asciiTheme="minorHAnsi" w:eastAsia="Calibri" w:hAnsiTheme="minorHAnsi" w:cstheme="minorHAnsi"/>
          <w:b/>
          <w:sz w:val="22"/>
          <w:szCs w:val="22"/>
          <w:lang w:val="el-GR"/>
        </w:rPr>
        <w:t xml:space="preserve"> συντάσσεται στις επίσημες γλώσσες ή τουλάχιστον σε μία από τις επίσημες γλώσσες</w:t>
      </w:r>
      <w:r w:rsidRPr="00A70931">
        <w:rPr>
          <w:rFonts w:ascii="Calibri" w:eastAsia="Calibri" w:hAnsi="Calibri"/>
          <w:b/>
          <w:sz w:val="22"/>
          <w:szCs w:val="22"/>
          <w:lang w:val="el-GR"/>
        </w:rPr>
        <w:t xml:space="preserve"> που χρησιμοποιούνται στο τμήμα του κράτους μέλους όπου διανέμεται το ΡΕΡΡ ή σε άλλη γλώσσα αποδεκτή από τις αρμόδιες αρχές του εν λόγω κράτους μέλους ή, εφόσον έχει συνταχθεί σε άλλη γλώσσα, μεταφράζεται σε μία από τις γλώσσες αυτές. Η μετάφραση αποδίδει πιστά και με ακρίβεια το περιεχόμενο του.</w:t>
      </w:r>
    </w:p>
    <w:p w14:paraId="744EB6ED" w14:textId="77777777" w:rsidR="00AE0584" w:rsidRPr="00A70931" w:rsidRDefault="00AE0584" w:rsidP="00AE0584">
      <w:pPr>
        <w:numPr>
          <w:ilvl w:val="0"/>
          <w:numId w:val="3"/>
        </w:numPr>
        <w:autoSpaceDE w:val="0"/>
        <w:autoSpaceDN w:val="0"/>
        <w:adjustRightInd w:val="0"/>
        <w:spacing w:after="160" w:line="256" w:lineRule="auto"/>
        <w:contextualSpacing/>
        <w:jc w:val="both"/>
        <w:rPr>
          <w:rFonts w:ascii="Calibri" w:eastAsia="Calibri" w:hAnsi="Calibri"/>
          <w:b/>
          <w:sz w:val="22"/>
          <w:szCs w:val="22"/>
          <w:lang w:val="el-GR"/>
        </w:rPr>
      </w:pPr>
      <w:r w:rsidRPr="00A70931">
        <w:rPr>
          <w:rFonts w:ascii="Calibri" w:eastAsia="Calibri" w:hAnsi="Calibri"/>
          <w:b/>
          <w:sz w:val="22"/>
          <w:szCs w:val="22"/>
          <w:lang w:val="el-GR"/>
        </w:rPr>
        <w:t xml:space="preserve">Εάν ένα </w:t>
      </w:r>
      <w:r w:rsidRPr="00A70931">
        <w:rPr>
          <w:rFonts w:ascii="Calibri" w:eastAsia="Calibri" w:hAnsi="Calibri"/>
          <w:b/>
          <w:sz w:val="22"/>
          <w:szCs w:val="22"/>
        </w:rPr>
        <w:t>PEPP</w:t>
      </w:r>
      <w:r w:rsidRPr="00A70931">
        <w:rPr>
          <w:rFonts w:ascii="Calibri" w:eastAsia="Calibri" w:hAnsi="Calibri"/>
          <w:b/>
          <w:sz w:val="22"/>
          <w:szCs w:val="22"/>
          <w:lang w:val="el-GR"/>
        </w:rPr>
        <w:t xml:space="preserve"> προωθείται εμπορικά σε κράτος μέλος μέσω υλικού εμπορικής προώθησης σε μία ή περισσότερες από τις επίσημες γλώσσες του εν λόγω κράτους μέλους, το </w:t>
      </w:r>
      <w:r w:rsidRPr="00A70931">
        <w:rPr>
          <w:rFonts w:ascii="Calibri" w:eastAsia="Calibri" w:hAnsi="Calibri"/>
          <w:b/>
          <w:sz w:val="22"/>
          <w:szCs w:val="22"/>
        </w:rPr>
        <w:t>PEPP</w:t>
      </w:r>
      <w:r w:rsidRPr="00A70931">
        <w:rPr>
          <w:rFonts w:ascii="Calibri" w:eastAsia="Calibri" w:hAnsi="Calibri"/>
          <w:b/>
          <w:sz w:val="22"/>
          <w:szCs w:val="22"/>
          <w:lang w:val="el-GR"/>
        </w:rPr>
        <w:t xml:space="preserve"> </w:t>
      </w:r>
      <w:r w:rsidRPr="00A70931">
        <w:rPr>
          <w:rFonts w:ascii="Calibri" w:eastAsia="Calibri" w:hAnsi="Calibri"/>
          <w:b/>
          <w:sz w:val="22"/>
          <w:szCs w:val="22"/>
        </w:rPr>
        <w:t>KID</w:t>
      </w:r>
      <w:r w:rsidRPr="00A70931">
        <w:rPr>
          <w:rFonts w:ascii="Calibri" w:eastAsia="Calibri" w:hAnsi="Calibri"/>
          <w:b/>
          <w:sz w:val="22"/>
          <w:szCs w:val="22"/>
          <w:lang w:val="el-GR"/>
        </w:rPr>
        <w:t xml:space="preserve"> συντάσσεται τουλάχιστον στις αντίστοιχες επίσημες γλώσσες.</w:t>
      </w:r>
    </w:p>
    <w:p w14:paraId="6575CCFF" w14:textId="1B304028" w:rsidR="00AE0584" w:rsidRDefault="00AE0584" w:rsidP="00AE0584">
      <w:pPr>
        <w:autoSpaceDE w:val="0"/>
        <w:autoSpaceDN w:val="0"/>
        <w:adjustRightInd w:val="0"/>
        <w:jc w:val="both"/>
        <w:rPr>
          <w:rFonts w:ascii="Calibri" w:eastAsia="CIDFont+F3" w:hAnsi="Calibri" w:cs="Calibri"/>
          <w:b/>
          <w:color w:val="000000"/>
          <w:sz w:val="22"/>
          <w:szCs w:val="22"/>
          <w:lang w:val="el-GR"/>
        </w:rPr>
      </w:pPr>
    </w:p>
    <w:p w14:paraId="251A0078" w14:textId="77777777" w:rsidR="006B3004" w:rsidRPr="00A70931" w:rsidRDefault="006B3004" w:rsidP="00AE0584">
      <w:pPr>
        <w:autoSpaceDE w:val="0"/>
        <w:autoSpaceDN w:val="0"/>
        <w:adjustRightInd w:val="0"/>
        <w:jc w:val="both"/>
        <w:rPr>
          <w:rFonts w:ascii="Calibri" w:eastAsia="CIDFont+F3" w:hAnsi="Calibri" w:cs="Calibri"/>
          <w:b/>
          <w:color w:val="000000"/>
          <w:sz w:val="22"/>
          <w:szCs w:val="22"/>
          <w:lang w:val="el-GR"/>
        </w:rPr>
      </w:pPr>
    </w:p>
    <w:p w14:paraId="5C2A6DAE" w14:textId="6B43DE35" w:rsidR="00C447CC" w:rsidRPr="00C447CC" w:rsidRDefault="00C447CC" w:rsidP="00C447CC">
      <w:pPr>
        <w:numPr>
          <w:ilvl w:val="0"/>
          <w:numId w:val="2"/>
        </w:numPr>
        <w:autoSpaceDE w:val="0"/>
        <w:autoSpaceDN w:val="0"/>
        <w:adjustRightInd w:val="0"/>
        <w:spacing w:after="160" w:line="256" w:lineRule="auto"/>
        <w:contextualSpacing/>
        <w:jc w:val="both"/>
        <w:rPr>
          <w:rFonts w:ascii="Calibri" w:hAnsi="Calibri" w:cs="Calibri"/>
          <w:b/>
          <w:sz w:val="22"/>
          <w:szCs w:val="22"/>
          <w:lang w:val="el-GR"/>
        </w:rPr>
      </w:pPr>
      <w:r>
        <w:rPr>
          <w:rFonts w:ascii="Calibri" w:hAnsi="Calibri" w:cs="Calibri"/>
          <w:b/>
          <w:sz w:val="22"/>
          <w:szCs w:val="22"/>
          <w:lang w:val="el-GR"/>
        </w:rPr>
        <w:lastRenderedPageBreak/>
        <w:t xml:space="preserve">Το εν λόγω πρόγραμμα ελέγχου εφαρμόζεται για το Βασικό </w:t>
      </w:r>
      <w:r>
        <w:rPr>
          <w:rFonts w:ascii="Calibri" w:hAnsi="Calibri" w:cs="Calibri"/>
          <w:b/>
          <w:sz w:val="22"/>
          <w:szCs w:val="22"/>
          <w:lang w:val="en-GB"/>
        </w:rPr>
        <w:t>PEPP</w:t>
      </w:r>
      <w:r w:rsidRPr="00C447CC">
        <w:rPr>
          <w:rFonts w:ascii="Calibri" w:hAnsi="Calibri" w:cs="Calibri"/>
          <w:b/>
          <w:sz w:val="22"/>
          <w:szCs w:val="22"/>
          <w:lang w:val="el-GR"/>
        </w:rPr>
        <w:t xml:space="preserve"> </w:t>
      </w:r>
      <w:r>
        <w:rPr>
          <w:rFonts w:ascii="Calibri" w:hAnsi="Calibri" w:cs="Calibri"/>
          <w:b/>
          <w:sz w:val="22"/>
          <w:szCs w:val="22"/>
          <w:lang w:val="el-GR"/>
        </w:rPr>
        <w:t xml:space="preserve">που θα προσφέρει η Αιτήτρια σε αποταμιευτή </w:t>
      </w:r>
      <w:r>
        <w:rPr>
          <w:rFonts w:ascii="Calibri" w:hAnsi="Calibri" w:cs="Calibri"/>
          <w:b/>
          <w:sz w:val="22"/>
          <w:szCs w:val="22"/>
          <w:lang w:val="en-GB"/>
        </w:rPr>
        <w:t>PEPP</w:t>
      </w:r>
      <w:r w:rsidRPr="00C447CC">
        <w:rPr>
          <w:rFonts w:ascii="Calibri" w:hAnsi="Calibri" w:cs="Calibri"/>
          <w:b/>
          <w:sz w:val="22"/>
          <w:szCs w:val="22"/>
          <w:lang w:val="el-GR"/>
        </w:rPr>
        <w:t xml:space="preserve"> </w:t>
      </w:r>
      <w:r>
        <w:rPr>
          <w:rFonts w:ascii="Calibri" w:hAnsi="Calibri" w:cs="Calibri"/>
          <w:b/>
          <w:sz w:val="22"/>
          <w:szCs w:val="22"/>
          <w:lang w:val="el-GR"/>
        </w:rPr>
        <w:t>κα</w:t>
      </w:r>
      <w:r w:rsidR="008649BF">
        <w:rPr>
          <w:rFonts w:ascii="Calibri" w:hAnsi="Calibri" w:cs="Calibri"/>
          <w:b/>
          <w:sz w:val="22"/>
          <w:szCs w:val="22"/>
          <w:lang w:val="el-GR"/>
        </w:rPr>
        <w:t>θώς</w:t>
      </w:r>
      <w:r>
        <w:rPr>
          <w:rFonts w:ascii="Calibri" w:hAnsi="Calibri" w:cs="Calibri"/>
          <w:b/>
          <w:sz w:val="22"/>
          <w:szCs w:val="22"/>
          <w:lang w:val="el-GR"/>
        </w:rPr>
        <w:t xml:space="preserve"> </w:t>
      </w:r>
      <w:r w:rsidR="008649BF">
        <w:rPr>
          <w:rFonts w:ascii="Calibri" w:hAnsi="Calibri" w:cs="Calibri"/>
          <w:b/>
          <w:sz w:val="22"/>
          <w:szCs w:val="22"/>
          <w:lang w:val="el-GR"/>
        </w:rPr>
        <w:t xml:space="preserve">και </w:t>
      </w:r>
      <w:r>
        <w:rPr>
          <w:rFonts w:ascii="Calibri" w:hAnsi="Calibri" w:cs="Calibri"/>
          <w:b/>
          <w:sz w:val="22"/>
          <w:szCs w:val="22"/>
          <w:lang w:val="el-GR"/>
        </w:rPr>
        <w:t>στην περίπτωση που η</w:t>
      </w:r>
      <w:r w:rsidRPr="00C447CC">
        <w:rPr>
          <w:rFonts w:ascii="Calibri" w:hAnsi="Calibri" w:cs="Calibri"/>
          <w:b/>
          <w:sz w:val="22"/>
          <w:szCs w:val="22"/>
          <w:lang w:val="el-GR"/>
        </w:rPr>
        <w:t xml:space="preserve"> Αιτήτρια θα</w:t>
      </w:r>
      <w:r>
        <w:rPr>
          <w:rFonts w:ascii="Calibri" w:hAnsi="Calibri" w:cs="Calibri"/>
          <w:b/>
          <w:sz w:val="22"/>
          <w:szCs w:val="22"/>
          <w:lang w:val="el-GR"/>
        </w:rPr>
        <w:t xml:space="preserve"> προσφέρει σε αποταμιευτή PEPP </w:t>
      </w:r>
      <w:r w:rsidRPr="00C447CC">
        <w:rPr>
          <w:rFonts w:ascii="Calibri" w:hAnsi="Calibri" w:cs="Calibri"/>
          <w:b/>
          <w:sz w:val="22"/>
          <w:szCs w:val="22"/>
          <w:lang w:val="el-GR"/>
        </w:rPr>
        <w:t>σειρά ενα</w:t>
      </w:r>
      <w:r>
        <w:rPr>
          <w:rFonts w:ascii="Calibri" w:hAnsi="Calibri" w:cs="Calibri"/>
          <w:b/>
          <w:sz w:val="22"/>
          <w:szCs w:val="22"/>
          <w:lang w:val="el-GR"/>
        </w:rPr>
        <w:t>λλακτικών επενδυτικών επιλογών</w:t>
      </w:r>
      <w:r w:rsidR="00947048">
        <w:rPr>
          <w:rFonts w:ascii="Calibri" w:hAnsi="Calibri" w:cs="Calibri"/>
          <w:b/>
          <w:sz w:val="22"/>
          <w:szCs w:val="22"/>
          <w:lang w:val="el-GR"/>
        </w:rPr>
        <w:t>, ως το άρθρο 42 του Κανονισμού</w:t>
      </w:r>
      <w:r>
        <w:rPr>
          <w:rFonts w:ascii="Calibri" w:hAnsi="Calibri" w:cs="Calibri"/>
          <w:b/>
          <w:sz w:val="22"/>
          <w:szCs w:val="22"/>
          <w:lang w:val="el-GR"/>
        </w:rPr>
        <w:t>. Στην τελεταία περίπτωση, η Αιτητρία καταρτίζει ένα γ</w:t>
      </w:r>
      <w:r w:rsidRPr="00C447CC">
        <w:rPr>
          <w:rFonts w:ascii="Calibri" w:hAnsi="Calibri" w:cs="Calibri"/>
          <w:b/>
          <w:sz w:val="22"/>
          <w:szCs w:val="22"/>
          <w:lang w:val="el-GR"/>
        </w:rPr>
        <w:t>ενικό PEPP KID ενιαίο για όλες τις εναλλακτικές επενδυτικές επιλογές</w:t>
      </w:r>
      <w:r>
        <w:rPr>
          <w:rFonts w:ascii="Calibri" w:hAnsi="Calibri" w:cs="Calibri"/>
          <w:b/>
          <w:sz w:val="22"/>
          <w:szCs w:val="22"/>
          <w:lang w:val="el-GR"/>
        </w:rPr>
        <w:t xml:space="preserve"> που θα προσφέρει ή α</w:t>
      </w:r>
      <w:r w:rsidRPr="00C447CC">
        <w:rPr>
          <w:rFonts w:ascii="Calibri" w:hAnsi="Calibri" w:cs="Calibri"/>
          <w:b/>
          <w:sz w:val="22"/>
          <w:szCs w:val="22"/>
          <w:lang w:val="el-GR"/>
        </w:rPr>
        <w:t>υτόνομο PEPP KID για κάθε εναλλ</w:t>
      </w:r>
      <w:r>
        <w:rPr>
          <w:rFonts w:ascii="Calibri" w:hAnsi="Calibri" w:cs="Calibri"/>
          <w:b/>
          <w:sz w:val="22"/>
          <w:szCs w:val="22"/>
          <w:lang w:val="el-GR"/>
        </w:rPr>
        <w:t xml:space="preserve">ακτική επενδυτική επιλογή, </w:t>
      </w:r>
      <w:r w:rsidRPr="00C447CC">
        <w:rPr>
          <w:rFonts w:ascii="Calibri" w:hAnsi="Calibri" w:cs="Calibri"/>
          <w:b/>
          <w:sz w:val="22"/>
          <w:szCs w:val="22"/>
          <w:lang w:val="el-GR"/>
        </w:rPr>
        <w:t>όταν οι πληροφορίες που απαιτούνται βάσει του άρθρου 28(3) του Κανονισμού σχετικά με τις υποκείμενες επενδυτικές επιλογές δεν μπορούν να παρέχονται μέσα σε ένα ενιαί</w:t>
      </w:r>
      <w:r>
        <w:rPr>
          <w:rFonts w:ascii="Calibri" w:hAnsi="Calibri" w:cs="Calibri"/>
          <w:b/>
          <w:sz w:val="22"/>
          <w:szCs w:val="22"/>
          <w:lang w:val="el-GR"/>
        </w:rPr>
        <w:t>ο, συνοπτικό, αυτόνομο PEPP KID</w:t>
      </w:r>
      <w:r w:rsidRPr="00C447CC">
        <w:rPr>
          <w:rFonts w:ascii="Calibri" w:hAnsi="Calibri" w:cs="Calibri"/>
          <w:b/>
          <w:sz w:val="22"/>
          <w:szCs w:val="22"/>
          <w:lang w:val="el-GR"/>
        </w:rPr>
        <w:t xml:space="preserve"> [άρθρο 26 [εδά</w:t>
      </w:r>
      <w:r w:rsidR="0019534C">
        <w:rPr>
          <w:rFonts w:ascii="Calibri" w:hAnsi="Calibri" w:cs="Calibri"/>
          <w:b/>
          <w:sz w:val="22"/>
          <w:szCs w:val="22"/>
          <w:lang w:val="el-GR"/>
        </w:rPr>
        <w:t>φια (3) και (4) του Κανονισμού].</w:t>
      </w:r>
    </w:p>
    <w:p w14:paraId="62BEA020" w14:textId="77777777" w:rsidR="00C447CC" w:rsidRPr="00C447CC" w:rsidRDefault="00C447CC" w:rsidP="00C447CC">
      <w:pPr>
        <w:autoSpaceDE w:val="0"/>
        <w:autoSpaceDN w:val="0"/>
        <w:adjustRightInd w:val="0"/>
        <w:spacing w:after="160" w:line="256" w:lineRule="auto"/>
        <w:ind w:left="720"/>
        <w:contextualSpacing/>
        <w:jc w:val="both"/>
        <w:rPr>
          <w:rFonts w:ascii="Calibri" w:hAnsi="Calibri" w:cs="Calibri"/>
          <w:b/>
          <w:sz w:val="22"/>
          <w:szCs w:val="22"/>
          <w:lang w:val="el-GR"/>
        </w:rPr>
      </w:pPr>
    </w:p>
    <w:p w14:paraId="73463FE1" w14:textId="5A4D2F04" w:rsidR="00AE0584" w:rsidRPr="00A70931" w:rsidRDefault="00AE0584" w:rsidP="00AE0584">
      <w:pPr>
        <w:numPr>
          <w:ilvl w:val="0"/>
          <w:numId w:val="2"/>
        </w:numPr>
        <w:autoSpaceDE w:val="0"/>
        <w:autoSpaceDN w:val="0"/>
        <w:adjustRightInd w:val="0"/>
        <w:spacing w:after="160" w:line="256" w:lineRule="auto"/>
        <w:contextualSpacing/>
        <w:jc w:val="both"/>
        <w:rPr>
          <w:rFonts w:ascii="Calibri" w:hAnsi="Calibri" w:cs="Calibri"/>
          <w:b/>
          <w:sz w:val="22"/>
          <w:szCs w:val="22"/>
          <w:lang w:val="el-GR"/>
        </w:rPr>
      </w:pPr>
      <w:r w:rsidRPr="00A70931">
        <w:rPr>
          <w:rFonts w:ascii="Calibri" w:eastAsia="Calibri" w:hAnsi="Calibri" w:cs="Calibri"/>
          <w:b/>
          <w:sz w:val="22"/>
          <w:szCs w:val="22"/>
          <w:lang w:val="el-GR"/>
        </w:rPr>
        <w:t>Το εν λόγω πρόγραμμα ελέγχου να συμπληρωθεί από τα ενδιαφερόμενα μέρη.</w:t>
      </w:r>
      <w:r w:rsidRPr="00A70931">
        <w:rPr>
          <w:rFonts w:ascii="Calibri" w:eastAsia="Calibri" w:hAnsi="Calibri" w:cs="Arial"/>
          <w:b/>
          <w:sz w:val="22"/>
          <w:szCs w:val="22"/>
          <w:lang w:val="el-GR"/>
        </w:rPr>
        <w:t xml:space="preserve"> Σε περίπτωση μη εφαρμογής των διατάξεων του εν λόγω εγγράφου, να αναγραφεί ‘Δ/Ε’. </w:t>
      </w:r>
    </w:p>
    <w:p w14:paraId="20116E5F" w14:textId="5E6D56DA" w:rsidR="00AE0584" w:rsidRDefault="00AE0584" w:rsidP="00AE0584">
      <w:pPr>
        <w:autoSpaceDE w:val="0"/>
        <w:autoSpaceDN w:val="0"/>
        <w:adjustRightInd w:val="0"/>
        <w:jc w:val="both"/>
        <w:rPr>
          <w:rFonts w:ascii="Calibri" w:eastAsia="CIDFont+F3" w:hAnsi="Calibri" w:cs="Calibri"/>
          <w:color w:val="000000"/>
          <w:sz w:val="22"/>
          <w:szCs w:val="22"/>
          <w:lang w:val="el-GR"/>
        </w:rPr>
      </w:pPr>
    </w:p>
    <w:p w14:paraId="67BC9FBC" w14:textId="77777777" w:rsidR="006B3004" w:rsidRPr="00AE0584" w:rsidRDefault="006B3004" w:rsidP="00AE0584">
      <w:pPr>
        <w:autoSpaceDE w:val="0"/>
        <w:autoSpaceDN w:val="0"/>
        <w:adjustRightInd w:val="0"/>
        <w:jc w:val="both"/>
        <w:rPr>
          <w:rFonts w:ascii="Calibri" w:eastAsia="CIDFont+F3" w:hAnsi="Calibri" w:cs="Calibri"/>
          <w:color w:val="000000"/>
          <w:sz w:val="22"/>
          <w:szCs w:val="22"/>
          <w:lang w:val="el-GR"/>
        </w:rPr>
      </w:pPr>
    </w:p>
    <w:tbl>
      <w:tblPr>
        <w:tblW w:w="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3"/>
        <w:gridCol w:w="1276"/>
        <w:gridCol w:w="1559"/>
        <w:gridCol w:w="1560"/>
      </w:tblGrid>
      <w:tr w:rsidR="00AE0584" w:rsidRPr="006B3004" w14:paraId="22F80861" w14:textId="77777777" w:rsidTr="00AE0584">
        <w:trPr>
          <w:trHeight w:val="600"/>
        </w:trPr>
        <w:tc>
          <w:tcPr>
            <w:tcW w:w="5223" w:type="dxa"/>
            <w:tcBorders>
              <w:top w:val="single" w:sz="4" w:space="0" w:color="auto"/>
              <w:left w:val="single" w:sz="4" w:space="0" w:color="auto"/>
              <w:bottom w:val="single" w:sz="4" w:space="0" w:color="auto"/>
              <w:right w:val="single" w:sz="4" w:space="0" w:color="auto"/>
            </w:tcBorders>
            <w:shd w:val="clear" w:color="auto" w:fill="7EA8CA"/>
          </w:tcPr>
          <w:p w14:paraId="57C402C2"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p w14:paraId="15AABAEC"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roofErr w:type="spellStart"/>
            <w:r w:rsidRPr="006B3004">
              <w:rPr>
                <w:rFonts w:asciiTheme="minorHAnsi" w:hAnsiTheme="minorHAnsi" w:cstheme="minorHAnsi"/>
                <w:b/>
                <w:sz w:val="24"/>
                <w:szCs w:val="24"/>
              </w:rPr>
              <w:t>Περιεχόμενο</w:t>
            </w:r>
            <w:proofErr w:type="spellEnd"/>
            <w:r w:rsidRPr="006B3004">
              <w:rPr>
                <w:rFonts w:asciiTheme="minorHAnsi" w:hAnsiTheme="minorHAnsi" w:cstheme="minorHAnsi"/>
                <w:b/>
                <w:sz w:val="24"/>
                <w:szCs w:val="24"/>
              </w:rPr>
              <w:t xml:space="preserve"> </w:t>
            </w:r>
            <w:proofErr w:type="spellStart"/>
            <w:r w:rsidRPr="006B3004">
              <w:rPr>
                <w:rFonts w:asciiTheme="minorHAnsi" w:hAnsiTheme="minorHAnsi" w:cstheme="minorHAnsi"/>
                <w:b/>
                <w:sz w:val="24"/>
                <w:szCs w:val="24"/>
              </w:rPr>
              <w:t>του</w:t>
            </w:r>
            <w:proofErr w:type="spellEnd"/>
            <w:r w:rsidRPr="006B3004">
              <w:rPr>
                <w:rFonts w:asciiTheme="minorHAnsi" w:hAnsiTheme="minorHAnsi" w:cstheme="minorHAnsi"/>
                <w:b/>
                <w:sz w:val="24"/>
                <w:szCs w:val="24"/>
              </w:rPr>
              <w:t xml:space="preserve"> PEPP KID</w:t>
            </w:r>
          </w:p>
        </w:tc>
        <w:tc>
          <w:tcPr>
            <w:tcW w:w="1276" w:type="dxa"/>
            <w:tcBorders>
              <w:top w:val="single" w:sz="4" w:space="0" w:color="auto"/>
              <w:left w:val="single" w:sz="4" w:space="0" w:color="auto"/>
              <w:bottom w:val="single" w:sz="4" w:space="0" w:color="auto"/>
              <w:right w:val="single" w:sz="4" w:space="0" w:color="auto"/>
            </w:tcBorders>
            <w:shd w:val="clear" w:color="auto" w:fill="7EA8CA"/>
            <w:hideMark/>
          </w:tcPr>
          <w:p w14:paraId="51D1BF88" w14:textId="77777777" w:rsidR="00AE0584" w:rsidRPr="006B3004" w:rsidRDefault="00AE0584" w:rsidP="006B3004">
            <w:pPr>
              <w:autoSpaceDE w:val="0"/>
              <w:autoSpaceDN w:val="0"/>
              <w:adjustRightInd w:val="0"/>
              <w:jc w:val="center"/>
              <w:rPr>
                <w:rFonts w:asciiTheme="minorHAnsi" w:hAnsiTheme="minorHAnsi" w:cstheme="minorHAnsi"/>
                <w:b/>
                <w:sz w:val="24"/>
                <w:szCs w:val="24"/>
              </w:rPr>
            </w:pPr>
            <w:proofErr w:type="spellStart"/>
            <w:r w:rsidRPr="006B3004">
              <w:rPr>
                <w:rFonts w:asciiTheme="minorHAnsi" w:hAnsiTheme="minorHAnsi" w:cstheme="minorHAnsi"/>
                <w:b/>
                <w:sz w:val="24"/>
                <w:szCs w:val="24"/>
              </w:rPr>
              <w:t>Σελίδ</w:t>
            </w:r>
            <w:proofErr w:type="spellEnd"/>
            <w:r w:rsidRPr="006B3004">
              <w:rPr>
                <w:rFonts w:asciiTheme="minorHAnsi" w:hAnsiTheme="minorHAnsi" w:cstheme="minorHAnsi"/>
                <w:b/>
                <w:sz w:val="24"/>
                <w:szCs w:val="24"/>
              </w:rPr>
              <w:t>α</w:t>
            </w:r>
          </w:p>
        </w:tc>
        <w:tc>
          <w:tcPr>
            <w:tcW w:w="1559" w:type="dxa"/>
            <w:tcBorders>
              <w:top w:val="single" w:sz="4" w:space="0" w:color="auto"/>
              <w:left w:val="single" w:sz="4" w:space="0" w:color="auto"/>
              <w:bottom w:val="single" w:sz="4" w:space="0" w:color="auto"/>
              <w:right w:val="single" w:sz="4" w:space="0" w:color="auto"/>
            </w:tcBorders>
            <w:shd w:val="clear" w:color="auto" w:fill="7EA8CA"/>
            <w:hideMark/>
          </w:tcPr>
          <w:p w14:paraId="76ADAF67" w14:textId="77777777" w:rsidR="00AE0584" w:rsidRPr="006B3004" w:rsidRDefault="00AE0584" w:rsidP="006B3004">
            <w:pPr>
              <w:autoSpaceDE w:val="0"/>
              <w:autoSpaceDN w:val="0"/>
              <w:adjustRightInd w:val="0"/>
              <w:jc w:val="center"/>
              <w:rPr>
                <w:rFonts w:asciiTheme="minorHAnsi" w:hAnsiTheme="minorHAnsi" w:cstheme="minorHAnsi"/>
                <w:b/>
                <w:sz w:val="24"/>
                <w:szCs w:val="24"/>
              </w:rPr>
            </w:pPr>
            <w:r w:rsidRPr="006B3004">
              <w:rPr>
                <w:rFonts w:asciiTheme="minorHAnsi" w:hAnsiTheme="minorHAnsi" w:cstheme="minorHAnsi"/>
                <w:b/>
                <w:sz w:val="24"/>
                <w:szCs w:val="24"/>
              </w:rPr>
              <w:t>Πα</w:t>
            </w:r>
            <w:proofErr w:type="spellStart"/>
            <w:r w:rsidRPr="006B3004">
              <w:rPr>
                <w:rFonts w:asciiTheme="minorHAnsi" w:hAnsiTheme="minorHAnsi" w:cstheme="minorHAnsi"/>
                <w:b/>
                <w:sz w:val="24"/>
                <w:szCs w:val="24"/>
              </w:rPr>
              <w:t>ράγρ</w:t>
            </w:r>
            <w:proofErr w:type="spellEnd"/>
            <w:r w:rsidRPr="006B3004">
              <w:rPr>
                <w:rFonts w:asciiTheme="minorHAnsi" w:hAnsiTheme="minorHAnsi" w:cstheme="minorHAnsi"/>
                <w:b/>
                <w:sz w:val="24"/>
                <w:szCs w:val="24"/>
              </w:rPr>
              <w:t>αφος</w:t>
            </w:r>
          </w:p>
        </w:tc>
        <w:tc>
          <w:tcPr>
            <w:tcW w:w="1560" w:type="dxa"/>
            <w:tcBorders>
              <w:top w:val="single" w:sz="4" w:space="0" w:color="auto"/>
              <w:left w:val="single" w:sz="4" w:space="0" w:color="auto"/>
              <w:bottom w:val="single" w:sz="4" w:space="0" w:color="auto"/>
              <w:right w:val="single" w:sz="4" w:space="0" w:color="auto"/>
            </w:tcBorders>
            <w:shd w:val="clear" w:color="auto" w:fill="7EA8CA"/>
            <w:hideMark/>
          </w:tcPr>
          <w:p w14:paraId="002EEAF2" w14:textId="77777777" w:rsidR="00AE0584" w:rsidRPr="006B3004" w:rsidRDefault="00AE0584" w:rsidP="006B3004">
            <w:pPr>
              <w:autoSpaceDE w:val="0"/>
              <w:autoSpaceDN w:val="0"/>
              <w:adjustRightInd w:val="0"/>
              <w:jc w:val="center"/>
              <w:rPr>
                <w:rFonts w:asciiTheme="minorHAnsi" w:hAnsiTheme="minorHAnsi" w:cstheme="minorHAnsi"/>
                <w:b/>
                <w:sz w:val="24"/>
                <w:szCs w:val="24"/>
              </w:rPr>
            </w:pPr>
            <w:proofErr w:type="spellStart"/>
            <w:r w:rsidRPr="006B3004">
              <w:rPr>
                <w:rFonts w:asciiTheme="minorHAnsi" w:hAnsiTheme="minorHAnsi" w:cstheme="minorHAnsi"/>
                <w:b/>
                <w:sz w:val="24"/>
                <w:szCs w:val="24"/>
              </w:rPr>
              <w:t>Γι</w:t>
            </w:r>
            <w:proofErr w:type="spellEnd"/>
            <w:r w:rsidRPr="006B3004">
              <w:rPr>
                <w:rFonts w:asciiTheme="minorHAnsi" w:hAnsiTheme="minorHAnsi" w:cstheme="minorHAnsi"/>
                <w:b/>
                <w:sz w:val="24"/>
                <w:szCs w:val="24"/>
              </w:rPr>
              <w:t>α επ</w:t>
            </w:r>
            <w:proofErr w:type="spellStart"/>
            <w:r w:rsidRPr="006B3004">
              <w:rPr>
                <w:rFonts w:asciiTheme="minorHAnsi" w:hAnsiTheme="minorHAnsi" w:cstheme="minorHAnsi"/>
                <w:b/>
                <w:sz w:val="24"/>
                <w:szCs w:val="24"/>
              </w:rPr>
              <w:t>ίσημη</w:t>
            </w:r>
            <w:proofErr w:type="spellEnd"/>
            <w:r w:rsidRPr="006B3004">
              <w:rPr>
                <w:rFonts w:asciiTheme="minorHAnsi" w:hAnsiTheme="minorHAnsi" w:cstheme="minorHAnsi"/>
                <w:b/>
                <w:sz w:val="24"/>
                <w:szCs w:val="24"/>
              </w:rPr>
              <w:t xml:space="preserve"> </w:t>
            </w:r>
            <w:proofErr w:type="spellStart"/>
            <w:r w:rsidRPr="006B3004">
              <w:rPr>
                <w:rFonts w:asciiTheme="minorHAnsi" w:hAnsiTheme="minorHAnsi" w:cstheme="minorHAnsi"/>
                <w:b/>
                <w:sz w:val="24"/>
                <w:szCs w:val="24"/>
              </w:rPr>
              <w:t>χρήση</w:t>
            </w:r>
            <w:proofErr w:type="spellEnd"/>
          </w:p>
        </w:tc>
      </w:tr>
      <w:tr w:rsidR="00AE0584" w:rsidRPr="00FA63DB" w14:paraId="4E52A189" w14:textId="77777777" w:rsidTr="00AE0584">
        <w:trPr>
          <w:trHeight w:val="600"/>
        </w:trPr>
        <w:tc>
          <w:tcPr>
            <w:tcW w:w="5223" w:type="dxa"/>
            <w:tcBorders>
              <w:top w:val="single" w:sz="4" w:space="0" w:color="auto"/>
              <w:left w:val="single" w:sz="4" w:space="0" w:color="auto"/>
              <w:bottom w:val="single" w:sz="4" w:space="0" w:color="auto"/>
              <w:right w:val="single" w:sz="4" w:space="0" w:color="auto"/>
            </w:tcBorders>
          </w:tcPr>
          <w:p w14:paraId="1315D226" w14:textId="56C2CD18" w:rsidR="002B4AD0" w:rsidRPr="006B3004" w:rsidRDefault="00AE0584" w:rsidP="006B3004">
            <w:pPr>
              <w:autoSpaceDE w:val="0"/>
              <w:autoSpaceDN w:val="0"/>
              <w:adjustRightInd w:val="0"/>
              <w:jc w:val="both"/>
              <w:rPr>
                <w:rFonts w:asciiTheme="minorHAnsi" w:hAnsiTheme="minorHAnsi" w:cstheme="minorHAnsi"/>
                <w:sz w:val="24"/>
                <w:szCs w:val="24"/>
                <w:lang w:val="el-GR"/>
              </w:rPr>
            </w:pPr>
            <w:r w:rsidRPr="006B3004">
              <w:rPr>
                <w:rFonts w:asciiTheme="minorHAnsi" w:hAnsiTheme="minorHAnsi" w:cstheme="minorHAnsi"/>
                <w:sz w:val="24"/>
                <w:szCs w:val="24"/>
                <w:lang w:val="el-GR"/>
              </w:rPr>
              <w:t xml:space="preserve">Ο τίτλος «Έγγραφο βασικών πληροφοριών ΡΕΡΡ» εμφανίζεται ευκρινώς στο πάνω μέρος της πρώτης σελίδας του ΡΕΡΡ </w:t>
            </w:r>
            <w:r w:rsidRPr="006B3004">
              <w:rPr>
                <w:rFonts w:asciiTheme="minorHAnsi" w:hAnsiTheme="minorHAnsi" w:cstheme="minorHAnsi"/>
                <w:sz w:val="24"/>
                <w:szCs w:val="24"/>
              </w:rPr>
              <w:t>KID</w:t>
            </w:r>
            <w:r w:rsidRPr="006B3004">
              <w:rPr>
                <w:rFonts w:asciiTheme="minorHAnsi" w:hAnsiTheme="minorHAnsi" w:cstheme="minorHAnsi"/>
                <w:sz w:val="24"/>
                <w:szCs w:val="24"/>
                <w:lang w:val="el-GR"/>
              </w:rPr>
              <w:t>.</w:t>
            </w:r>
          </w:p>
        </w:tc>
        <w:tc>
          <w:tcPr>
            <w:tcW w:w="1276" w:type="dxa"/>
            <w:tcBorders>
              <w:top w:val="single" w:sz="4" w:space="0" w:color="auto"/>
              <w:left w:val="single" w:sz="4" w:space="0" w:color="auto"/>
              <w:bottom w:val="single" w:sz="4" w:space="0" w:color="auto"/>
              <w:right w:val="single" w:sz="4" w:space="0" w:color="auto"/>
            </w:tcBorders>
          </w:tcPr>
          <w:p w14:paraId="472BB2CD"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14:paraId="727748BF"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60" w:type="dxa"/>
            <w:tcBorders>
              <w:top w:val="single" w:sz="4" w:space="0" w:color="auto"/>
              <w:left w:val="single" w:sz="4" w:space="0" w:color="auto"/>
              <w:bottom w:val="single" w:sz="4" w:space="0" w:color="auto"/>
              <w:right w:val="single" w:sz="4" w:space="0" w:color="auto"/>
            </w:tcBorders>
          </w:tcPr>
          <w:p w14:paraId="652EC544"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r>
      <w:tr w:rsidR="002B4AD0" w:rsidRPr="00FA63DB" w14:paraId="798BD910" w14:textId="77777777" w:rsidTr="00AE0584">
        <w:trPr>
          <w:trHeight w:val="600"/>
        </w:trPr>
        <w:tc>
          <w:tcPr>
            <w:tcW w:w="5223" w:type="dxa"/>
            <w:tcBorders>
              <w:top w:val="single" w:sz="4" w:space="0" w:color="auto"/>
              <w:left w:val="single" w:sz="4" w:space="0" w:color="auto"/>
              <w:bottom w:val="single" w:sz="4" w:space="0" w:color="auto"/>
              <w:right w:val="single" w:sz="4" w:space="0" w:color="auto"/>
            </w:tcBorders>
          </w:tcPr>
          <w:p w14:paraId="45011A80" w14:textId="77777777" w:rsidR="002B4AD0" w:rsidRPr="006B3004" w:rsidRDefault="002B4AD0" w:rsidP="006B3004">
            <w:pPr>
              <w:autoSpaceDE w:val="0"/>
              <w:autoSpaceDN w:val="0"/>
              <w:adjustRightInd w:val="0"/>
              <w:jc w:val="both"/>
              <w:rPr>
                <w:rFonts w:asciiTheme="minorHAnsi" w:hAnsiTheme="minorHAnsi" w:cstheme="minorHAnsi"/>
                <w:sz w:val="24"/>
                <w:szCs w:val="24"/>
                <w:lang w:val="el-GR"/>
              </w:rPr>
            </w:pPr>
          </w:p>
          <w:p w14:paraId="1B3A4B29" w14:textId="0A42EA36" w:rsidR="002B4AD0" w:rsidRPr="006B3004" w:rsidRDefault="002B4AD0" w:rsidP="006B3004">
            <w:pPr>
              <w:autoSpaceDE w:val="0"/>
              <w:autoSpaceDN w:val="0"/>
              <w:adjustRightInd w:val="0"/>
              <w:jc w:val="both"/>
              <w:rPr>
                <w:rFonts w:asciiTheme="minorHAnsi" w:hAnsiTheme="minorHAnsi" w:cstheme="minorHAnsi"/>
                <w:sz w:val="24"/>
                <w:szCs w:val="24"/>
                <w:lang w:val="el-GR"/>
              </w:rPr>
            </w:pPr>
            <w:r w:rsidRPr="006B3004">
              <w:rPr>
                <w:rFonts w:asciiTheme="minorHAnsi" w:hAnsiTheme="minorHAnsi" w:cstheme="minorHAnsi"/>
                <w:sz w:val="24"/>
                <w:szCs w:val="24"/>
                <w:lang w:val="el-GR"/>
              </w:rPr>
              <w:t xml:space="preserve">Το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 xml:space="preserve"> </w:t>
            </w:r>
            <w:r w:rsidRPr="006B3004">
              <w:rPr>
                <w:rFonts w:asciiTheme="minorHAnsi" w:hAnsiTheme="minorHAnsi" w:cstheme="minorHAnsi"/>
                <w:sz w:val="24"/>
                <w:szCs w:val="24"/>
              </w:rPr>
              <w:t>KID</w:t>
            </w:r>
            <w:r w:rsidRPr="006B3004">
              <w:rPr>
                <w:rFonts w:asciiTheme="minorHAnsi" w:hAnsiTheme="minorHAnsi" w:cstheme="minorHAnsi"/>
                <w:sz w:val="24"/>
                <w:szCs w:val="24"/>
                <w:lang w:val="el-GR"/>
              </w:rPr>
              <w:t xml:space="preserve"> παρουσιάζεται με τη σειρά που ορίζεται στις παραγράφους 2 και 3 του άρθρου 28 του Κανονισμού.</w:t>
            </w:r>
          </w:p>
        </w:tc>
        <w:tc>
          <w:tcPr>
            <w:tcW w:w="1276" w:type="dxa"/>
            <w:tcBorders>
              <w:top w:val="single" w:sz="4" w:space="0" w:color="auto"/>
              <w:left w:val="single" w:sz="4" w:space="0" w:color="auto"/>
              <w:bottom w:val="single" w:sz="4" w:space="0" w:color="auto"/>
              <w:right w:val="single" w:sz="4" w:space="0" w:color="auto"/>
            </w:tcBorders>
          </w:tcPr>
          <w:p w14:paraId="26621799" w14:textId="77777777" w:rsidR="002B4AD0" w:rsidRPr="006B3004" w:rsidRDefault="002B4AD0" w:rsidP="006B3004">
            <w:pPr>
              <w:autoSpaceDE w:val="0"/>
              <w:autoSpaceDN w:val="0"/>
              <w:adjustRightInd w:val="0"/>
              <w:jc w:val="center"/>
              <w:rPr>
                <w:rFonts w:asciiTheme="minorHAnsi" w:hAnsiTheme="minorHAnsi"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14:paraId="1C3008CC" w14:textId="77777777" w:rsidR="002B4AD0" w:rsidRPr="006B3004" w:rsidRDefault="002B4AD0" w:rsidP="006B3004">
            <w:pPr>
              <w:autoSpaceDE w:val="0"/>
              <w:autoSpaceDN w:val="0"/>
              <w:adjustRightInd w:val="0"/>
              <w:jc w:val="center"/>
              <w:rPr>
                <w:rFonts w:asciiTheme="minorHAnsi" w:hAnsiTheme="minorHAnsi" w:cstheme="minorHAnsi"/>
                <w:b/>
                <w:sz w:val="24"/>
                <w:szCs w:val="24"/>
                <w:lang w:val="el-GR"/>
              </w:rPr>
            </w:pPr>
          </w:p>
        </w:tc>
        <w:tc>
          <w:tcPr>
            <w:tcW w:w="1560" w:type="dxa"/>
            <w:tcBorders>
              <w:top w:val="single" w:sz="4" w:space="0" w:color="auto"/>
              <w:left w:val="single" w:sz="4" w:space="0" w:color="auto"/>
              <w:bottom w:val="single" w:sz="4" w:space="0" w:color="auto"/>
              <w:right w:val="single" w:sz="4" w:space="0" w:color="auto"/>
            </w:tcBorders>
          </w:tcPr>
          <w:p w14:paraId="79CE4722" w14:textId="77777777" w:rsidR="002B4AD0" w:rsidRPr="006B3004" w:rsidRDefault="002B4AD0" w:rsidP="006B3004">
            <w:pPr>
              <w:autoSpaceDE w:val="0"/>
              <w:autoSpaceDN w:val="0"/>
              <w:adjustRightInd w:val="0"/>
              <w:jc w:val="center"/>
              <w:rPr>
                <w:rFonts w:asciiTheme="minorHAnsi" w:hAnsiTheme="minorHAnsi" w:cstheme="minorHAnsi"/>
                <w:b/>
                <w:sz w:val="24"/>
                <w:szCs w:val="24"/>
                <w:lang w:val="el-GR"/>
              </w:rPr>
            </w:pPr>
          </w:p>
        </w:tc>
      </w:tr>
      <w:tr w:rsidR="00AE0584" w:rsidRPr="00FA63DB" w14:paraId="2D7EF134" w14:textId="77777777" w:rsidTr="00AE0584">
        <w:trPr>
          <w:trHeight w:val="600"/>
        </w:trPr>
        <w:tc>
          <w:tcPr>
            <w:tcW w:w="5223" w:type="dxa"/>
            <w:tcBorders>
              <w:top w:val="single" w:sz="4" w:space="0" w:color="auto"/>
              <w:left w:val="single" w:sz="4" w:space="0" w:color="auto"/>
              <w:bottom w:val="single" w:sz="4" w:space="0" w:color="auto"/>
              <w:right w:val="single" w:sz="4" w:space="0" w:color="auto"/>
            </w:tcBorders>
            <w:hideMark/>
          </w:tcPr>
          <w:p w14:paraId="530BEAD2" w14:textId="11F82CB0" w:rsidR="00AE0584" w:rsidRPr="006B3004" w:rsidRDefault="00AE0584" w:rsidP="006B3004">
            <w:pPr>
              <w:autoSpaceDE w:val="0"/>
              <w:autoSpaceDN w:val="0"/>
              <w:adjustRightInd w:val="0"/>
              <w:jc w:val="both"/>
              <w:rPr>
                <w:rFonts w:asciiTheme="minorHAnsi" w:hAnsiTheme="minorHAnsi" w:cstheme="minorHAnsi"/>
                <w:b/>
                <w:sz w:val="24"/>
                <w:szCs w:val="24"/>
                <w:lang w:val="el-GR"/>
              </w:rPr>
            </w:pPr>
            <w:r w:rsidRPr="006B3004">
              <w:rPr>
                <w:rFonts w:asciiTheme="minorHAnsi" w:hAnsiTheme="minorHAnsi" w:cstheme="minorHAnsi"/>
                <w:sz w:val="24"/>
                <w:szCs w:val="24"/>
                <w:lang w:val="el-GR"/>
              </w:rPr>
              <w:t>Ακριβώς κάτω από τον τίτλο εμφανίζεται επεξηγηματική δήλωση. Η δήλωση έχει ως εξής: «Το παρόν έγγραφο παρέχει βασικές πληροφορίες σχετικά με το παρόν πανευρωπαϊκό ατομικό συνταξιοδοτικό προϊόν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 xml:space="preserve">). Δεν αποτελεί διαφημιστικό υλικό. Οι πληροφορίες απαιτούνται βάσει του νόμου για να σας βοηθήσουν να κατανοήσετε τη φύση, τους κινδύνους, το κόστος, τα δυνητικά κέρδη και ζημίες του παρόντος ατομικού συνταξιοδοτικού προϊόντος και να σας βοηθήσουν να το συγκρίνετε με άλλα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w:t>
            </w:r>
            <w:r w:rsidR="006B3004">
              <w:rPr>
                <w:rFonts w:asciiTheme="minorHAnsi" w:hAnsiTheme="minorHAnsi" w:cstheme="minorHAnsi"/>
                <w:sz w:val="24"/>
                <w:szCs w:val="24"/>
                <w:lang w:val="el-GR"/>
              </w:rPr>
              <w:t>.</w:t>
            </w:r>
          </w:p>
        </w:tc>
        <w:tc>
          <w:tcPr>
            <w:tcW w:w="1276" w:type="dxa"/>
            <w:tcBorders>
              <w:top w:val="single" w:sz="4" w:space="0" w:color="auto"/>
              <w:left w:val="single" w:sz="4" w:space="0" w:color="auto"/>
              <w:bottom w:val="single" w:sz="4" w:space="0" w:color="auto"/>
              <w:right w:val="single" w:sz="4" w:space="0" w:color="auto"/>
            </w:tcBorders>
          </w:tcPr>
          <w:p w14:paraId="0B3C6344"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14:paraId="26B8ED8A"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60" w:type="dxa"/>
            <w:tcBorders>
              <w:top w:val="single" w:sz="4" w:space="0" w:color="auto"/>
              <w:left w:val="single" w:sz="4" w:space="0" w:color="auto"/>
              <w:bottom w:val="single" w:sz="4" w:space="0" w:color="auto"/>
              <w:right w:val="single" w:sz="4" w:space="0" w:color="auto"/>
            </w:tcBorders>
          </w:tcPr>
          <w:p w14:paraId="1F7D85B3"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r>
      <w:tr w:rsidR="00AE0584" w:rsidRPr="00FA63DB" w14:paraId="572158E5" w14:textId="77777777" w:rsidTr="00AE0584">
        <w:trPr>
          <w:trHeight w:val="421"/>
        </w:trPr>
        <w:tc>
          <w:tcPr>
            <w:tcW w:w="5223" w:type="dxa"/>
            <w:tcBorders>
              <w:top w:val="single" w:sz="4" w:space="0" w:color="auto"/>
              <w:left w:val="single" w:sz="4" w:space="0" w:color="auto"/>
              <w:bottom w:val="single" w:sz="4" w:space="0" w:color="auto"/>
              <w:right w:val="single" w:sz="4" w:space="0" w:color="auto"/>
            </w:tcBorders>
          </w:tcPr>
          <w:p w14:paraId="421CDEA8" w14:textId="441FE0F3" w:rsidR="00AE0584" w:rsidRPr="006B3004" w:rsidRDefault="00AE0584" w:rsidP="006B3004">
            <w:pPr>
              <w:autoSpaceDE w:val="0"/>
              <w:autoSpaceDN w:val="0"/>
              <w:adjustRightInd w:val="0"/>
              <w:jc w:val="both"/>
              <w:rPr>
                <w:rFonts w:asciiTheme="minorHAnsi" w:hAnsiTheme="minorHAnsi" w:cstheme="minorHAnsi"/>
                <w:b/>
                <w:sz w:val="24"/>
                <w:szCs w:val="24"/>
                <w:lang w:val="el-GR"/>
              </w:rPr>
            </w:pPr>
            <w:r w:rsidRPr="006B3004">
              <w:rPr>
                <w:rFonts w:asciiTheme="minorHAnsi" w:hAnsiTheme="minorHAnsi" w:cstheme="minorHAnsi"/>
                <w:sz w:val="24"/>
                <w:szCs w:val="24"/>
                <w:lang w:val="el-GR"/>
              </w:rPr>
              <w:t xml:space="preserve">Το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 xml:space="preserve"> </w:t>
            </w:r>
            <w:r w:rsidRPr="006B3004">
              <w:rPr>
                <w:rFonts w:asciiTheme="minorHAnsi" w:hAnsiTheme="minorHAnsi" w:cstheme="minorHAnsi"/>
                <w:sz w:val="24"/>
                <w:szCs w:val="24"/>
              </w:rPr>
              <w:t>KID</w:t>
            </w:r>
            <w:r w:rsidRPr="006B3004">
              <w:rPr>
                <w:rFonts w:asciiTheme="minorHAnsi" w:hAnsiTheme="minorHAnsi" w:cstheme="minorHAnsi"/>
                <w:sz w:val="24"/>
                <w:szCs w:val="24"/>
                <w:lang w:val="el-GR"/>
              </w:rPr>
              <w:t xml:space="preserve"> περιέχει τις ακόλουθες πληροφορίες:</w:t>
            </w:r>
          </w:p>
        </w:tc>
        <w:tc>
          <w:tcPr>
            <w:tcW w:w="1276" w:type="dxa"/>
            <w:vMerge w:val="restart"/>
            <w:tcBorders>
              <w:top w:val="single" w:sz="4" w:space="0" w:color="auto"/>
              <w:left w:val="single" w:sz="4" w:space="0" w:color="auto"/>
              <w:bottom w:val="single" w:sz="4" w:space="0" w:color="auto"/>
              <w:right w:val="single" w:sz="4" w:space="0" w:color="auto"/>
            </w:tcBorders>
          </w:tcPr>
          <w:p w14:paraId="6896AEAB"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59" w:type="dxa"/>
            <w:vMerge w:val="restart"/>
            <w:tcBorders>
              <w:top w:val="single" w:sz="4" w:space="0" w:color="auto"/>
              <w:left w:val="single" w:sz="4" w:space="0" w:color="auto"/>
              <w:bottom w:val="single" w:sz="4" w:space="0" w:color="auto"/>
              <w:right w:val="single" w:sz="4" w:space="0" w:color="auto"/>
            </w:tcBorders>
          </w:tcPr>
          <w:p w14:paraId="77B7B594"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60" w:type="dxa"/>
            <w:vMerge w:val="restart"/>
            <w:tcBorders>
              <w:top w:val="single" w:sz="4" w:space="0" w:color="auto"/>
              <w:left w:val="single" w:sz="4" w:space="0" w:color="auto"/>
              <w:bottom w:val="single" w:sz="4" w:space="0" w:color="auto"/>
              <w:right w:val="single" w:sz="4" w:space="0" w:color="auto"/>
            </w:tcBorders>
          </w:tcPr>
          <w:p w14:paraId="5DBDD857"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r>
      <w:tr w:rsidR="00AE0584" w:rsidRPr="00FA63DB" w14:paraId="49DA1120" w14:textId="77777777" w:rsidTr="00AE0584">
        <w:trPr>
          <w:trHeight w:val="2002"/>
        </w:trPr>
        <w:tc>
          <w:tcPr>
            <w:tcW w:w="5223" w:type="dxa"/>
            <w:tcBorders>
              <w:top w:val="single" w:sz="4" w:space="0" w:color="auto"/>
              <w:left w:val="single" w:sz="4" w:space="0" w:color="auto"/>
              <w:bottom w:val="single" w:sz="4" w:space="0" w:color="auto"/>
              <w:right w:val="single" w:sz="4" w:space="0" w:color="auto"/>
            </w:tcBorders>
          </w:tcPr>
          <w:p w14:paraId="355C3A7C" w14:textId="77777777" w:rsidR="00AE0584" w:rsidRPr="006B3004" w:rsidRDefault="00AE0584" w:rsidP="006B3004">
            <w:pPr>
              <w:autoSpaceDE w:val="0"/>
              <w:autoSpaceDN w:val="0"/>
              <w:adjustRightInd w:val="0"/>
              <w:jc w:val="both"/>
              <w:rPr>
                <w:rFonts w:asciiTheme="minorHAnsi" w:hAnsiTheme="minorHAnsi" w:cstheme="minorHAnsi"/>
                <w:sz w:val="24"/>
                <w:szCs w:val="24"/>
                <w:lang w:val="el-GR"/>
              </w:rPr>
            </w:pPr>
            <w:r w:rsidRPr="006B3004">
              <w:rPr>
                <w:rFonts w:asciiTheme="minorHAnsi" w:hAnsiTheme="minorHAnsi" w:cstheme="minorHAnsi"/>
                <w:sz w:val="24"/>
                <w:szCs w:val="24"/>
                <w:lang w:val="el-GR"/>
              </w:rPr>
              <w:t xml:space="preserve">α) Στην αρχή του εγγράφου: το όνομα του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 xml:space="preserve">, εάν πρόκειται για βασικό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 xml:space="preserve"> ή όχι, τα στοιχεία ταυτότητας και επικοινωνίας του παρόχου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 xml:space="preserve">, πληροφορίες σχετικά με τις αρμόδιες αρχές του παρόχου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 xml:space="preserve">, τον αριθμό καταχώρισης του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 xml:space="preserve"> στο κεντρικό δημόσιο μητρώο και την ημερομηνία του εγγράφου. </w:t>
            </w:r>
          </w:p>
          <w:p w14:paraId="2E3C731A" w14:textId="77777777" w:rsidR="00AE0584" w:rsidRPr="006B3004" w:rsidRDefault="00AE0584" w:rsidP="006B3004">
            <w:pPr>
              <w:autoSpaceDE w:val="0"/>
              <w:autoSpaceDN w:val="0"/>
              <w:adjustRightInd w:val="0"/>
              <w:jc w:val="both"/>
              <w:rPr>
                <w:rFonts w:asciiTheme="minorHAnsi" w:hAnsiTheme="minorHAnsi" w:cstheme="minorHAnsi"/>
                <w:sz w:val="24"/>
                <w:szCs w:val="24"/>
                <w:lang w:val="el-G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0186DEE" w14:textId="77777777" w:rsidR="00AE0584" w:rsidRPr="006B3004" w:rsidRDefault="00AE0584" w:rsidP="006B3004">
            <w:pPr>
              <w:rPr>
                <w:rFonts w:asciiTheme="minorHAnsi" w:hAnsiTheme="minorHAnsi" w:cstheme="minorHAnsi"/>
                <w:b/>
                <w:sz w:val="24"/>
                <w:szCs w:val="24"/>
                <w:lang w:val="el-G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43E3A39" w14:textId="77777777" w:rsidR="00AE0584" w:rsidRPr="006B3004" w:rsidRDefault="00AE0584" w:rsidP="006B3004">
            <w:pPr>
              <w:rPr>
                <w:rFonts w:asciiTheme="minorHAnsi" w:hAnsiTheme="minorHAnsi" w:cstheme="minorHAnsi"/>
                <w:b/>
                <w:sz w:val="24"/>
                <w:szCs w:val="24"/>
                <w:lang w:val="el-GR"/>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4C72BB" w14:textId="77777777" w:rsidR="00AE0584" w:rsidRPr="006B3004" w:rsidRDefault="00AE0584" w:rsidP="006B3004">
            <w:pPr>
              <w:rPr>
                <w:rFonts w:asciiTheme="minorHAnsi" w:hAnsiTheme="minorHAnsi" w:cstheme="minorHAnsi"/>
                <w:b/>
                <w:sz w:val="24"/>
                <w:szCs w:val="24"/>
                <w:lang w:val="el-GR"/>
              </w:rPr>
            </w:pPr>
          </w:p>
        </w:tc>
      </w:tr>
      <w:tr w:rsidR="00AE0584" w:rsidRPr="00FA63DB" w14:paraId="538DEE18" w14:textId="77777777" w:rsidTr="00AE0584">
        <w:trPr>
          <w:trHeight w:val="807"/>
        </w:trPr>
        <w:tc>
          <w:tcPr>
            <w:tcW w:w="5223" w:type="dxa"/>
            <w:tcBorders>
              <w:top w:val="single" w:sz="4" w:space="0" w:color="auto"/>
              <w:left w:val="single" w:sz="4" w:space="0" w:color="auto"/>
              <w:bottom w:val="single" w:sz="4" w:space="0" w:color="auto"/>
              <w:right w:val="single" w:sz="4" w:space="0" w:color="auto"/>
            </w:tcBorders>
          </w:tcPr>
          <w:p w14:paraId="3B7908FF" w14:textId="1605A11F" w:rsidR="00AE0584" w:rsidRPr="006B3004" w:rsidRDefault="00AE0584" w:rsidP="006B3004">
            <w:pPr>
              <w:autoSpaceDE w:val="0"/>
              <w:autoSpaceDN w:val="0"/>
              <w:adjustRightInd w:val="0"/>
              <w:jc w:val="both"/>
              <w:rPr>
                <w:rFonts w:asciiTheme="minorHAnsi" w:hAnsiTheme="minorHAnsi" w:cstheme="minorHAnsi"/>
                <w:sz w:val="24"/>
                <w:szCs w:val="24"/>
                <w:lang w:val="el-GR"/>
              </w:rPr>
            </w:pPr>
            <w:r w:rsidRPr="006B3004">
              <w:rPr>
                <w:rFonts w:asciiTheme="minorHAnsi" w:hAnsiTheme="minorHAnsi" w:cstheme="minorHAnsi"/>
                <w:sz w:val="24"/>
                <w:szCs w:val="24"/>
                <w:lang w:val="el-GR"/>
              </w:rPr>
              <w:t xml:space="preserve">β) Τη δήλωση: «Το συνταξιοδοτικό προϊόν που περιγράφεται στο παρόν έγγραφο είναι ένα </w:t>
            </w:r>
            <w:r w:rsidRPr="006B3004">
              <w:rPr>
                <w:rFonts w:asciiTheme="minorHAnsi" w:hAnsiTheme="minorHAnsi" w:cstheme="minorHAnsi"/>
                <w:sz w:val="24"/>
                <w:szCs w:val="24"/>
                <w:lang w:val="el-GR"/>
              </w:rPr>
              <w:lastRenderedPageBreak/>
              <w:t>μακροπρόθεσμο προϊόν με περιορισμένες δυνατότητες εξαγοράς, το οποίο δεν μπορεί να καταγγελθεί ανά πάσα στιγμή.».</w:t>
            </w:r>
          </w:p>
        </w:tc>
        <w:tc>
          <w:tcPr>
            <w:tcW w:w="1276" w:type="dxa"/>
            <w:tcBorders>
              <w:top w:val="single" w:sz="4" w:space="0" w:color="auto"/>
              <w:left w:val="single" w:sz="4" w:space="0" w:color="auto"/>
              <w:bottom w:val="single" w:sz="4" w:space="0" w:color="auto"/>
              <w:right w:val="single" w:sz="4" w:space="0" w:color="auto"/>
            </w:tcBorders>
          </w:tcPr>
          <w:p w14:paraId="2D5AFB79"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14:paraId="166E2CD2"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60" w:type="dxa"/>
            <w:tcBorders>
              <w:top w:val="single" w:sz="4" w:space="0" w:color="auto"/>
              <w:left w:val="single" w:sz="4" w:space="0" w:color="auto"/>
              <w:bottom w:val="single" w:sz="4" w:space="0" w:color="auto"/>
              <w:right w:val="single" w:sz="4" w:space="0" w:color="auto"/>
            </w:tcBorders>
          </w:tcPr>
          <w:p w14:paraId="1BBA424B"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r>
      <w:tr w:rsidR="00AE0584" w:rsidRPr="00FA63DB" w14:paraId="676E5E08" w14:textId="77777777" w:rsidTr="00AE0584">
        <w:trPr>
          <w:trHeight w:val="807"/>
        </w:trPr>
        <w:tc>
          <w:tcPr>
            <w:tcW w:w="5223" w:type="dxa"/>
            <w:tcBorders>
              <w:top w:val="single" w:sz="4" w:space="0" w:color="auto"/>
              <w:left w:val="single" w:sz="4" w:space="0" w:color="auto"/>
              <w:bottom w:val="single" w:sz="4" w:space="0" w:color="auto"/>
              <w:right w:val="single" w:sz="4" w:space="0" w:color="auto"/>
            </w:tcBorders>
          </w:tcPr>
          <w:p w14:paraId="06F3E710" w14:textId="77777777" w:rsidR="00AE0584" w:rsidRPr="006B3004" w:rsidRDefault="00AE0584" w:rsidP="006B3004">
            <w:pPr>
              <w:autoSpaceDE w:val="0"/>
              <w:autoSpaceDN w:val="0"/>
              <w:adjustRightInd w:val="0"/>
              <w:jc w:val="both"/>
              <w:rPr>
                <w:rFonts w:asciiTheme="minorHAnsi" w:hAnsiTheme="minorHAnsi" w:cstheme="minorHAnsi"/>
                <w:sz w:val="24"/>
                <w:szCs w:val="24"/>
                <w:lang w:val="el-GR"/>
              </w:rPr>
            </w:pPr>
          </w:p>
          <w:p w14:paraId="55F40A35" w14:textId="77777777" w:rsidR="00AE0584" w:rsidRPr="006B3004" w:rsidRDefault="00AE0584" w:rsidP="006B3004">
            <w:pPr>
              <w:autoSpaceDE w:val="0"/>
              <w:autoSpaceDN w:val="0"/>
              <w:adjustRightInd w:val="0"/>
              <w:jc w:val="both"/>
              <w:rPr>
                <w:rFonts w:asciiTheme="minorHAnsi" w:hAnsiTheme="minorHAnsi" w:cstheme="minorHAnsi"/>
                <w:sz w:val="24"/>
                <w:szCs w:val="24"/>
                <w:lang w:val="el-GR"/>
              </w:rPr>
            </w:pPr>
            <w:r w:rsidRPr="006B3004">
              <w:rPr>
                <w:rFonts w:asciiTheme="minorHAnsi" w:hAnsiTheme="minorHAnsi" w:cstheme="minorHAnsi"/>
                <w:sz w:val="24"/>
                <w:szCs w:val="24"/>
                <w:lang w:val="el-GR"/>
              </w:rPr>
              <w:t xml:space="preserve">γ) Σε τμήμα με τίτλο «Τι είναι αυτό το προϊόν;», τη φύση και τα βασικά χαρακτηριστικά του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 όπου συμπεριλαμβάνονται τα εξής:</w:t>
            </w:r>
          </w:p>
          <w:p w14:paraId="0E387257" w14:textId="77777777" w:rsidR="00AE0584" w:rsidRPr="006B3004" w:rsidRDefault="00AE0584" w:rsidP="006B3004">
            <w:pPr>
              <w:autoSpaceDE w:val="0"/>
              <w:autoSpaceDN w:val="0"/>
              <w:adjustRightInd w:val="0"/>
              <w:jc w:val="both"/>
              <w:rPr>
                <w:rFonts w:asciiTheme="minorHAnsi" w:hAnsiTheme="minorHAnsi" w:cstheme="minorHAnsi"/>
                <w:sz w:val="24"/>
                <w:szCs w:val="24"/>
                <w:lang w:val="el-GR"/>
              </w:rPr>
            </w:pPr>
          </w:p>
          <w:p w14:paraId="26873A57" w14:textId="77777777" w:rsidR="00AE0584" w:rsidRPr="006B3004" w:rsidRDefault="00AE0584" w:rsidP="006B3004">
            <w:pPr>
              <w:autoSpaceDE w:val="0"/>
              <w:autoSpaceDN w:val="0"/>
              <w:adjustRightInd w:val="0"/>
              <w:jc w:val="both"/>
              <w:rPr>
                <w:rFonts w:asciiTheme="minorHAnsi" w:hAnsiTheme="minorHAnsi" w:cstheme="minorHAnsi"/>
                <w:sz w:val="24"/>
                <w:szCs w:val="24"/>
                <w:lang w:val="el-GR"/>
              </w:rPr>
            </w:pPr>
          </w:p>
          <w:p w14:paraId="2CD5E111" w14:textId="77777777" w:rsidR="00AE0584" w:rsidRPr="006B3004" w:rsidRDefault="00AE0584" w:rsidP="006B3004">
            <w:pPr>
              <w:numPr>
                <w:ilvl w:val="0"/>
                <w:numId w:val="4"/>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οι μακροπρόθεσμοι στόχοι του και τα μέσα επίτευξής τους, ιδιαίτερα το αν οι στόχοι επιτυγχάνονται με άμεση ή έμμεση έκθεση στα υποκείμενα επενδυτικά στοιχεία ενεργητικού, και μεταξύ άλλων την περιγραφή των υποκείμενων μέσων ή των τιμών αναφοράς, συμπεριλαμβανομένου του προσδιορισμού των αγορών στις οποίες επενδύει ο πάροχος ΡΕΡΡ, καθώς και εξήγηση του τρόπου προσδιορισμού της απόδοσης,</w:t>
            </w:r>
          </w:p>
          <w:p w14:paraId="24280B44" w14:textId="77777777" w:rsidR="00AE0584" w:rsidRPr="006B3004" w:rsidRDefault="00AE0584" w:rsidP="006B3004">
            <w:pPr>
              <w:autoSpaceDE w:val="0"/>
              <w:autoSpaceDN w:val="0"/>
              <w:adjustRightInd w:val="0"/>
              <w:ind w:left="1080"/>
              <w:contextualSpacing/>
              <w:jc w:val="both"/>
              <w:rPr>
                <w:rFonts w:asciiTheme="minorHAnsi" w:eastAsia="Calibri" w:hAnsiTheme="minorHAnsi" w:cstheme="minorHAnsi"/>
                <w:sz w:val="24"/>
                <w:szCs w:val="24"/>
                <w:lang w:val="el-GR"/>
              </w:rPr>
            </w:pPr>
          </w:p>
          <w:p w14:paraId="2F44EB1F" w14:textId="77777777" w:rsidR="00AE0584" w:rsidRPr="006B3004" w:rsidRDefault="00AE0584" w:rsidP="006B3004">
            <w:pPr>
              <w:numPr>
                <w:ilvl w:val="0"/>
                <w:numId w:val="4"/>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περιγραφή του τύπου του αποταμιευτή PEPP στον οποίο απευθύνεται το ΡΕΡΡ, ιδίως ως προς την ικανότητά του αποταμιευτή PEPP να υποστεί τυχόν επενδυτική ζημία και ως προς τον επενδυτικό ορίζοντα,</w:t>
            </w:r>
          </w:p>
          <w:p w14:paraId="01FCDFAE" w14:textId="77777777" w:rsidR="00AE0584" w:rsidRPr="006B3004" w:rsidRDefault="00AE0584" w:rsidP="006B3004">
            <w:pPr>
              <w:autoSpaceDE w:val="0"/>
              <w:autoSpaceDN w:val="0"/>
              <w:adjustRightInd w:val="0"/>
              <w:jc w:val="both"/>
              <w:rPr>
                <w:rFonts w:asciiTheme="minorHAnsi" w:hAnsiTheme="minorHAnsi" w:cstheme="minorHAnsi"/>
                <w:sz w:val="24"/>
                <w:szCs w:val="24"/>
                <w:lang w:val="el-GR"/>
              </w:rPr>
            </w:pPr>
          </w:p>
          <w:p w14:paraId="5D1DBA66" w14:textId="77777777" w:rsidR="00AE0584" w:rsidRPr="006B3004" w:rsidRDefault="00AE0584" w:rsidP="006B3004">
            <w:pPr>
              <w:numPr>
                <w:ilvl w:val="0"/>
                <w:numId w:val="4"/>
              </w:numPr>
              <w:autoSpaceDE w:val="0"/>
              <w:autoSpaceDN w:val="0"/>
              <w:adjustRightInd w:val="0"/>
              <w:contextualSpacing/>
              <w:jc w:val="both"/>
              <w:rPr>
                <w:rFonts w:asciiTheme="minorHAnsi" w:eastAsia="Calibri" w:hAnsiTheme="minorHAnsi" w:cstheme="minorHAnsi"/>
                <w:sz w:val="24"/>
                <w:szCs w:val="24"/>
                <w:lang w:val="el-GR"/>
              </w:rPr>
            </w:pPr>
            <w:proofErr w:type="spellStart"/>
            <w:r w:rsidRPr="006B3004">
              <w:rPr>
                <w:rFonts w:asciiTheme="minorHAnsi" w:eastAsia="Calibri" w:hAnsiTheme="minorHAnsi" w:cstheme="minorHAnsi"/>
                <w:sz w:val="24"/>
                <w:szCs w:val="24"/>
              </w:rPr>
              <w:t>δήλωση</w:t>
            </w:r>
            <w:proofErr w:type="spellEnd"/>
            <w:r w:rsidRPr="006B3004">
              <w:rPr>
                <w:rFonts w:asciiTheme="minorHAnsi" w:eastAsia="Calibri" w:hAnsiTheme="minorHAnsi" w:cstheme="minorHAnsi"/>
                <w:sz w:val="24"/>
                <w:szCs w:val="24"/>
              </w:rPr>
              <w:t xml:space="preserve"> </w:t>
            </w:r>
            <w:proofErr w:type="spellStart"/>
            <w:r w:rsidRPr="006B3004">
              <w:rPr>
                <w:rFonts w:asciiTheme="minorHAnsi" w:eastAsia="Calibri" w:hAnsiTheme="minorHAnsi" w:cstheme="minorHAnsi"/>
                <w:sz w:val="24"/>
                <w:szCs w:val="24"/>
              </w:rPr>
              <w:t>σχετικά</w:t>
            </w:r>
            <w:proofErr w:type="spellEnd"/>
            <w:r w:rsidRPr="006B3004">
              <w:rPr>
                <w:rFonts w:asciiTheme="minorHAnsi" w:eastAsia="Calibri" w:hAnsiTheme="minorHAnsi" w:cstheme="minorHAnsi"/>
                <w:sz w:val="24"/>
                <w:szCs w:val="24"/>
              </w:rPr>
              <w:t xml:space="preserve"> </w:t>
            </w:r>
            <w:proofErr w:type="spellStart"/>
            <w:r w:rsidRPr="006B3004">
              <w:rPr>
                <w:rFonts w:asciiTheme="minorHAnsi" w:eastAsia="Calibri" w:hAnsiTheme="minorHAnsi" w:cstheme="minorHAnsi"/>
                <w:sz w:val="24"/>
                <w:szCs w:val="24"/>
              </w:rPr>
              <w:t>με</w:t>
            </w:r>
            <w:proofErr w:type="spellEnd"/>
            <w:r w:rsidRPr="006B3004">
              <w:rPr>
                <w:rFonts w:asciiTheme="minorHAnsi" w:eastAsia="Calibri" w:hAnsiTheme="minorHAnsi" w:cstheme="minorHAnsi"/>
                <w:sz w:val="24"/>
                <w:szCs w:val="24"/>
              </w:rPr>
              <w:t xml:space="preserve"> </w:t>
            </w:r>
            <w:proofErr w:type="spellStart"/>
            <w:r w:rsidRPr="006B3004">
              <w:rPr>
                <w:rFonts w:asciiTheme="minorHAnsi" w:eastAsia="Calibri" w:hAnsiTheme="minorHAnsi" w:cstheme="minorHAnsi"/>
                <w:sz w:val="24"/>
                <w:szCs w:val="24"/>
              </w:rPr>
              <w:t>το</w:t>
            </w:r>
            <w:proofErr w:type="spellEnd"/>
          </w:p>
          <w:p w14:paraId="5884D0FE" w14:textId="77777777" w:rsidR="00AE0584" w:rsidRPr="006B3004" w:rsidRDefault="00AE0584" w:rsidP="006B3004">
            <w:pPr>
              <w:ind w:left="720"/>
              <w:contextualSpacing/>
              <w:rPr>
                <w:rFonts w:asciiTheme="minorHAnsi" w:eastAsia="Calibri" w:hAnsiTheme="minorHAnsi" w:cstheme="minorHAnsi"/>
                <w:sz w:val="24"/>
                <w:szCs w:val="24"/>
                <w:lang w:val="el-GR"/>
              </w:rPr>
            </w:pPr>
          </w:p>
          <w:p w14:paraId="7A528D5E" w14:textId="77777777" w:rsidR="00AE0584" w:rsidRPr="006B3004" w:rsidRDefault="00AE0584" w:rsidP="006B3004">
            <w:pPr>
              <w:autoSpaceDE w:val="0"/>
              <w:autoSpaceDN w:val="0"/>
              <w:adjustRightInd w:val="0"/>
              <w:ind w:left="108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 xml:space="preserve">— κατά πόσον το βασικό </w:t>
            </w:r>
            <w:r w:rsidRPr="006B3004">
              <w:rPr>
                <w:rFonts w:asciiTheme="minorHAnsi" w:eastAsia="Calibri" w:hAnsiTheme="minorHAnsi" w:cstheme="minorHAnsi"/>
                <w:sz w:val="24"/>
                <w:szCs w:val="24"/>
              </w:rPr>
              <w:t>PEPP</w:t>
            </w:r>
            <w:r w:rsidRPr="006B3004">
              <w:rPr>
                <w:rFonts w:asciiTheme="minorHAnsi" w:eastAsia="Calibri" w:hAnsiTheme="minorHAnsi" w:cstheme="minorHAnsi"/>
                <w:sz w:val="24"/>
                <w:szCs w:val="24"/>
                <w:lang w:val="el-GR"/>
              </w:rPr>
              <w:t xml:space="preserve"> παρέχει εγγύηση επί του κεφαλαίου ή λαμβάνει τη μορφή τεχνικής μετριασμού του κινδύνου σύμφωνα με τον στόχο που επιτρέπει στον αποταμιευτή </w:t>
            </w:r>
            <w:r w:rsidRPr="006B3004">
              <w:rPr>
                <w:rFonts w:asciiTheme="minorHAnsi" w:eastAsia="Calibri" w:hAnsiTheme="minorHAnsi" w:cstheme="minorHAnsi"/>
                <w:sz w:val="24"/>
                <w:szCs w:val="24"/>
              </w:rPr>
              <w:t>PEPP</w:t>
            </w:r>
            <w:r w:rsidRPr="006B3004">
              <w:rPr>
                <w:rFonts w:asciiTheme="minorHAnsi" w:eastAsia="Calibri" w:hAnsiTheme="minorHAnsi" w:cstheme="minorHAnsi"/>
                <w:sz w:val="24"/>
                <w:szCs w:val="24"/>
                <w:lang w:val="el-GR"/>
              </w:rPr>
              <w:t xml:space="preserve"> να ανακτήσει το κεφάλαιο ή — </w:t>
            </w:r>
          </w:p>
          <w:p w14:paraId="4C063AF8" w14:textId="77777777" w:rsidR="00AE0584" w:rsidRPr="006B3004" w:rsidRDefault="00AE0584" w:rsidP="006B3004">
            <w:pPr>
              <w:ind w:left="720"/>
              <w:contextualSpacing/>
              <w:rPr>
                <w:rFonts w:asciiTheme="minorHAnsi" w:eastAsia="Calibri" w:hAnsiTheme="minorHAnsi" w:cstheme="minorHAnsi"/>
                <w:sz w:val="24"/>
                <w:szCs w:val="24"/>
                <w:lang w:val="el-GR"/>
              </w:rPr>
            </w:pPr>
          </w:p>
          <w:p w14:paraId="2611249F" w14:textId="77777777" w:rsidR="00AE0584" w:rsidRPr="006B3004" w:rsidRDefault="00AE0584" w:rsidP="006B3004">
            <w:pPr>
              <w:autoSpaceDE w:val="0"/>
              <w:autoSpaceDN w:val="0"/>
              <w:adjustRightInd w:val="0"/>
              <w:ind w:left="108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εάν και σε ποιο βαθμό οποιαδήποτε εναλλακτική επενδυτική επιλογή, κατά περίπτωση, παρέχει εγγύηση ή τεχνική μετριασμού του κινδύνου,</w:t>
            </w:r>
          </w:p>
          <w:p w14:paraId="7AB6AA25" w14:textId="77777777" w:rsidR="00AE0584" w:rsidRPr="006B3004" w:rsidRDefault="00AE0584" w:rsidP="006B3004">
            <w:pPr>
              <w:autoSpaceDE w:val="0"/>
              <w:autoSpaceDN w:val="0"/>
              <w:adjustRightInd w:val="0"/>
              <w:ind w:left="1080"/>
              <w:contextualSpacing/>
              <w:jc w:val="both"/>
              <w:rPr>
                <w:rFonts w:asciiTheme="minorHAnsi" w:eastAsia="Calibri" w:hAnsiTheme="minorHAnsi" w:cstheme="minorHAnsi"/>
                <w:sz w:val="24"/>
                <w:szCs w:val="24"/>
                <w:lang w:val="el-GR"/>
              </w:rPr>
            </w:pPr>
          </w:p>
          <w:p w14:paraId="4CAA4B19" w14:textId="77777777" w:rsidR="00AE0584" w:rsidRPr="006B3004" w:rsidRDefault="00AE0584" w:rsidP="006B3004">
            <w:pPr>
              <w:numPr>
                <w:ilvl w:val="0"/>
                <w:numId w:val="4"/>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 xml:space="preserve">περιγραφή των συνταξιοδοτικών παροχών </w:t>
            </w:r>
            <w:r w:rsidRPr="006B3004">
              <w:rPr>
                <w:rFonts w:asciiTheme="minorHAnsi" w:eastAsia="Calibri" w:hAnsiTheme="minorHAnsi" w:cstheme="minorHAnsi"/>
                <w:sz w:val="24"/>
                <w:szCs w:val="24"/>
              </w:rPr>
              <w:t>PEPP</w:t>
            </w:r>
            <w:r w:rsidRPr="006B3004">
              <w:rPr>
                <w:rFonts w:asciiTheme="minorHAnsi" w:eastAsia="Calibri" w:hAnsiTheme="minorHAnsi" w:cstheme="minorHAnsi"/>
                <w:sz w:val="24"/>
                <w:szCs w:val="24"/>
                <w:lang w:val="el-GR"/>
              </w:rPr>
              <w:t xml:space="preserve">, ιδίως των πιθανών μορφών πληρωμών και του </w:t>
            </w:r>
            <w:r w:rsidRPr="006B3004">
              <w:rPr>
                <w:rFonts w:asciiTheme="minorHAnsi" w:eastAsia="Calibri" w:hAnsiTheme="minorHAnsi" w:cstheme="minorHAnsi"/>
                <w:sz w:val="24"/>
                <w:szCs w:val="24"/>
                <w:lang w:val="el-GR"/>
              </w:rPr>
              <w:lastRenderedPageBreak/>
              <w:t>δικαιώματος τροποποίησης της μορφής των πληρωμών που αναφέρονται στο άρθρο 59(1) του Κανονισμού,</w:t>
            </w:r>
          </w:p>
          <w:p w14:paraId="3C0FC916" w14:textId="77777777" w:rsidR="00AE0584" w:rsidRPr="006B3004" w:rsidRDefault="00AE0584" w:rsidP="006B3004">
            <w:pPr>
              <w:numPr>
                <w:ilvl w:val="0"/>
                <w:numId w:val="4"/>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ταν το ΡΕΡΡ καλύπτει βιομετρικό κίνδυνο: λεπτομέρειες σχετικά με τους καλυπτόμενους κινδύνους και τα ασφαλιστικά οφέλη, συμπεριλαμβανομένων των περιστάσεων στις οποίες μπορούν να ζητηθούν οι παροχές αυτές,</w:t>
            </w:r>
          </w:p>
          <w:p w14:paraId="44A22403" w14:textId="77777777" w:rsidR="00AE0584" w:rsidRPr="006B3004" w:rsidRDefault="00AE0584" w:rsidP="006B3004">
            <w:pPr>
              <w:autoSpaceDE w:val="0"/>
              <w:autoSpaceDN w:val="0"/>
              <w:adjustRightInd w:val="0"/>
              <w:ind w:left="1080"/>
              <w:contextualSpacing/>
              <w:jc w:val="both"/>
              <w:rPr>
                <w:rFonts w:asciiTheme="minorHAnsi" w:eastAsia="Calibri" w:hAnsiTheme="minorHAnsi" w:cstheme="minorHAnsi"/>
                <w:sz w:val="24"/>
                <w:szCs w:val="24"/>
                <w:lang w:val="el-GR"/>
              </w:rPr>
            </w:pPr>
          </w:p>
          <w:p w14:paraId="1B4C6AD2" w14:textId="77777777" w:rsidR="00AE0584" w:rsidRPr="006B3004" w:rsidRDefault="00AE0584" w:rsidP="006B3004">
            <w:pPr>
              <w:numPr>
                <w:ilvl w:val="0"/>
                <w:numId w:val="4"/>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πληροφορίες σχετικά με την υπηρεσία δυνατότητας μεταφοράς, συμπεριλαμβανομένης αναφοράς στο κεντρικό δημόσιο μητρώο που αναφέρεται στο άρθρο 13 του Κανονισμού, όπου περιέχονται πληροφορίες σχετικά με τους όρους για τη φάση συσσώρευσης και τη φάση αποσυσσώρευσης που ορίζουν τα κράτη μέλη σύμφωνα με τα άρθρα 47 και 57 του Κανονισμού,</w:t>
            </w:r>
          </w:p>
          <w:p w14:paraId="5DAACB0F" w14:textId="77777777" w:rsidR="00AE0584" w:rsidRPr="006B3004" w:rsidRDefault="00AE0584" w:rsidP="006B3004">
            <w:pPr>
              <w:ind w:left="720"/>
              <w:contextualSpacing/>
              <w:rPr>
                <w:rFonts w:asciiTheme="minorHAnsi" w:eastAsia="Calibri" w:hAnsiTheme="minorHAnsi" w:cstheme="minorHAnsi"/>
                <w:sz w:val="24"/>
                <w:szCs w:val="24"/>
                <w:lang w:val="el-GR"/>
              </w:rPr>
            </w:pPr>
          </w:p>
          <w:p w14:paraId="7C3CF74E" w14:textId="77777777" w:rsidR="00AE0584" w:rsidRPr="006B3004" w:rsidRDefault="00AE0584" w:rsidP="006B3004">
            <w:pPr>
              <w:autoSpaceDE w:val="0"/>
              <w:autoSpaceDN w:val="0"/>
              <w:adjustRightInd w:val="0"/>
              <w:ind w:left="1080"/>
              <w:contextualSpacing/>
              <w:jc w:val="both"/>
              <w:rPr>
                <w:rFonts w:asciiTheme="minorHAnsi" w:eastAsia="Calibri" w:hAnsiTheme="minorHAnsi" w:cstheme="minorHAnsi"/>
                <w:sz w:val="24"/>
                <w:szCs w:val="24"/>
                <w:lang w:val="el-GR"/>
              </w:rPr>
            </w:pPr>
          </w:p>
          <w:p w14:paraId="49E86B03" w14:textId="77777777" w:rsidR="00AE0584" w:rsidRPr="006B3004" w:rsidRDefault="00AE0584" w:rsidP="006B3004">
            <w:pPr>
              <w:numPr>
                <w:ilvl w:val="0"/>
                <w:numId w:val="4"/>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δήλωση σχετικά με τις συνέπειες που θα έχει για τον αποταμιευτή PEPP η πρόωρη αποχώρηση από το PEPP,  συμπεριλαμβανομένων όλων των επιβαλλόμενων προμηθειών, των κυρώσεων και της πιθανής απώλειας της κεφαλαιακής προστασίας και άλλων πιθανών πλεονεκτημάτων και κινήτρων,</w:t>
            </w:r>
          </w:p>
          <w:p w14:paraId="745E3FB5" w14:textId="77777777" w:rsidR="00AE0584" w:rsidRPr="006B3004" w:rsidRDefault="00AE0584" w:rsidP="006B3004">
            <w:pPr>
              <w:autoSpaceDE w:val="0"/>
              <w:autoSpaceDN w:val="0"/>
              <w:adjustRightInd w:val="0"/>
              <w:ind w:left="1080"/>
              <w:contextualSpacing/>
              <w:jc w:val="both"/>
              <w:rPr>
                <w:rFonts w:asciiTheme="minorHAnsi" w:eastAsia="Calibri" w:hAnsiTheme="minorHAnsi" w:cstheme="minorHAnsi"/>
                <w:sz w:val="24"/>
                <w:szCs w:val="24"/>
                <w:lang w:val="el-GR"/>
              </w:rPr>
            </w:pPr>
          </w:p>
          <w:p w14:paraId="5EBEF8FD" w14:textId="77777777" w:rsidR="00AE0584" w:rsidRPr="006B3004" w:rsidRDefault="00AE0584" w:rsidP="006B3004">
            <w:pPr>
              <w:numPr>
                <w:ilvl w:val="0"/>
                <w:numId w:val="4"/>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δήλωση σχετικά με τις συνέπειες για τον αποταμιευτή PEPP, εάν ο αποταμιευτής PEPP σταματήσει να εισφέρει στο PEPP,</w:t>
            </w:r>
          </w:p>
          <w:p w14:paraId="5F62F406" w14:textId="77777777" w:rsidR="00AE0584" w:rsidRPr="006B3004" w:rsidRDefault="00AE0584" w:rsidP="006B3004">
            <w:pPr>
              <w:ind w:left="720"/>
              <w:contextualSpacing/>
              <w:rPr>
                <w:rFonts w:asciiTheme="minorHAnsi" w:eastAsia="Calibri" w:hAnsiTheme="minorHAnsi" w:cstheme="minorHAnsi"/>
                <w:sz w:val="24"/>
                <w:szCs w:val="24"/>
                <w:lang w:val="el-GR"/>
              </w:rPr>
            </w:pPr>
          </w:p>
          <w:p w14:paraId="72387C84" w14:textId="77777777" w:rsidR="00AE0584" w:rsidRPr="006B3004" w:rsidRDefault="00AE0584" w:rsidP="006B3004">
            <w:pPr>
              <w:autoSpaceDE w:val="0"/>
              <w:autoSpaceDN w:val="0"/>
              <w:adjustRightInd w:val="0"/>
              <w:ind w:left="1080"/>
              <w:contextualSpacing/>
              <w:jc w:val="both"/>
              <w:rPr>
                <w:rFonts w:asciiTheme="minorHAnsi" w:eastAsia="Calibri" w:hAnsiTheme="minorHAnsi" w:cstheme="minorHAnsi"/>
                <w:sz w:val="24"/>
                <w:szCs w:val="24"/>
                <w:lang w:val="el-GR"/>
              </w:rPr>
            </w:pPr>
          </w:p>
          <w:p w14:paraId="7C0DDB32" w14:textId="77777777" w:rsidR="00AE0584" w:rsidRPr="006B3004" w:rsidRDefault="00AE0584" w:rsidP="006B3004">
            <w:pPr>
              <w:numPr>
                <w:ilvl w:val="0"/>
                <w:numId w:val="4"/>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πληροφορίες σχετικά με τους διαθέσιμους υπολογαριασμούς και με τα δικαιώματα του αποταμιευτή PEPP που αναφέρονται στο άρθρο 20(5) του Κανονισμού,</w:t>
            </w:r>
          </w:p>
          <w:p w14:paraId="3A9F081F" w14:textId="77777777" w:rsidR="00AE0584" w:rsidRPr="006B3004" w:rsidRDefault="00AE0584" w:rsidP="006B3004">
            <w:pPr>
              <w:autoSpaceDE w:val="0"/>
              <w:autoSpaceDN w:val="0"/>
              <w:adjustRightInd w:val="0"/>
              <w:ind w:left="1080"/>
              <w:contextualSpacing/>
              <w:jc w:val="both"/>
              <w:rPr>
                <w:rFonts w:asciiTheme="minorHAnsi" w:eastAsia="Calibri" w:hAnsiTheme="minorHAnsi" w:cstheme="minorHAnsi"/>
                <w:sz w:val="24"/>
                <w:szCs w:val="24"/>
                <w:lang w:val="el-GR"/>
              </w:rPr>
            </w:pPr>
          </w:p>
          <w:p w14:paraId="020769F4" w14:textId="77777777" w:rsidR="00AE0584" w:rsidRPr="006B3004" w:rsidRDefault="00AE0584" w:rsidP="006B3004">
            <w:pPr>
              <w:numPr>
                <w:ilvl w:val="0"/>
                <w:numId w:val="4"/>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 xml:space="preserve">πληροφορίες σχετικά με το δικαίωμα του αποταμιευτή PEPP να αλλάζει </w:t>
            </w:r>
            <w:r w:rsidRPr="006B3004">
              <w:rPr>
                <w:rFonts w:asciiTheme="minorHAnsi" w:eastAsia="Calibri" w:hAnsiTheme="minorHAnsi" w:cstheme="minorHAnsi"/>
                <w:sz w:val="24"/>
                <w:szCs w:val="24"/>
                <w:lang w:val="el-GR"/>
              </w:rPr>
              <w:lastRenderedPageBreak/>
              <w:t>λογαριασμό και το δικαίωμα να λαμβάνει πληροφορίες σχετικά με την υπηρεσία αλλαγής λογαριασμού που αναφέρεται στο άρθρο 56 του Κανονισμού,</w:t>
            </w:r>
          </w:p>
          <w:p w14:paraId="71785D33" w14:textId="77777777" w:rsidR="00AE0584" w:rsidRPr="006B3004" w:rsidRDefault="00AE0584" w:rsidP="006B3004">
            <w:pPr>
              <w:autoSpaceDE w:val="0"/>
              <w:autoSpaceDN w:val="0"/>
              <w:adjustRightInd w:val="0"/>
              <w:jc w:val="both"/>
              <w:rPr>
                <w:rFonts w:asciiTheme="minorHAnsi" w:hAnsiTheme="minorHAnsi" w:cstheme="minorHAnsi"/>
                <w:sz w:val="24"/>
                <w:szCs w:val="24"/>
                <w:lang w:val="el-GR"/>
              </w:rPr>
            </w:pPr>
          </w:p>
          <w:p w14:paraId="319C6A23" w14:textId="77777777" w:rsidR="00AE0584" w:rsidRPr="006B3004" w:rsidRDefault="00AE0584" w:rsidP="006B3004">
            <w:pPr>
              <w:numPr>
                <w:ilvl w:val="0"/>
                <w:numId w:val="4"/>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οι όροι για την τροποποίηση της επιλεγείσας επενδυτικής επιλογής που αναφέρεται στο άρθρο 44 του Κανονισμού,</w:t>
            </w:r>
          </w:p>
          <w:p w14:paraId="58A08DD1" w14:textId="2811F22B" w:rsidR="00AE0584" w:rsidRPr="006B3004" w:rsidRDefault="00AE0584" w:rsidP="006B3004">
            <w:pPr>
              <w:numPr>
                <w:ilvl w:val="0"/>
                <w:numId w:val="4"/>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 xml:space="preserve">πληροφορίες, όταν υπάρχουν, σχετικά με τις επιδόσεις των επενδύσεων του </w:t>
            </w:r>
            <w:proofErr w:type="spellStart"/>
            <w:r w:rsidRPr="006B3004">
              <w:rPr>
                <w:rFonts w:asciiTheme="minorHAnsi" w:eastAsia="Calibri" w:hAnsiTheme="minorHAnsi" w:cstheme="minorHAnsi"/>
                <w:sz w:val="24"/>
                <w:szCs w:val="24"/>
                <w:lang w:val="el-GR"/>
              </w:rPr>
              <w:t>παρόχου</w:t>
            </w:r>
            <w:proofErr w:type="spellEnd"/>
            <w:r w:rsidRPr="006B3004">
              <w:rPr>
                <w:rFonts w:asciiTheme="minorHAnsi" w:eastAsia="Calibri" w:hAnsiTheme="minorHAnsi" w:cstheme="minorHAnsi"/>
                <w:sz w:val="24"/>
                <w:szCs w:val="24"/>
                <w:lang w:val="el-GR"/>
              </w:rPr>
              <w:t xml:space="preserve"> ΡΕΡΡ όσον αφορά παράγοντες ΠΚΔ</w:t>
            </w:r>
            <w:r w:rsidR="006B3004" w:rsidRPr="006B3004">
              <w:rPr>
                <w:rFonts w:asciiTheme="minorHAnsi" w:eastAsia="Calibri" w:hAnsiTheme="minorHAnsi" w:cstheme="minorHAnsi"/>
                <w:sz w:val="24"/>
                <w:szCs w:val="24"/>
                <w:lang w:val="el-GR"/>
              </w:rPr>
              <w:t>,</w:t>
            </w:r>
            <w:r w:rsidR="004B24B4" w:rsidRPr="006B3004">
              <w:rPr>
                <w:rStyle w:val="FootnoteReference"/>
                <w:rFonts w:asciiTheme="minorHAnsi" w:eastAsia="Calibri" w:hAnsiTheme="minorHAnsi" w:cstheme="minorHAnsi"/>
                <w:sz w:val="24"/>
                <w:szCs w:val="24"/>
                <w:lang w:val="el-GR"/>
              </w:rPr>
              <w:footnoteReference w:id="1"/>
            </w:r>
          </w:p>
          <w:p w14:paraId="226D613F" w14:textId="77777777" w:rsidR="00AE0584" w:rsidRPr="006B3004" w:rsidRDefault="00AE0584" w:rsidP="006B3004">
            <w:pPr>
              <w:autoSpaceDE w:val="0"/>
              <w:autoSpaceDN w:val="0"/>
              <w:adjustRightInd w:val="0"/>
              <w:ind w:left="1080"/>
              <w:contextualSpacing/>
              <w:jc w:val="both"/>
              <w:rPr>
                <w:rFonts w:asciiTheme="minorHAnsi" w:eastAsia="Calibri" w:hAnsiTheme="minorHAnsi" w:cstheme="minorHAnsi"/>
                <w:sz w:val="24"/>
                <w:szCs w:val="24"/>
                <w:lang w:val="el-GR"/>
              </w:rPr>
            </w:pPr>
          </w:p>
          <w:p w14:paraId="59386AF4" w14:textId="77777777" w:rsidR="00AE0584" w:rsidRPr="006B3004" w:rsidRDefault="00AE0584" w:rsidP="006B3004">
            <w:pPr>
              <w:numPr>
                <w:ilvl w:val="0"/>
                <w:numId w:val="4"/>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το εφαρμοστέο δίκαιο της σύμβασης PEPP, εάν οι συμβαλλόμενοι δεν έχουν δικαίωμα επιλογής του δικαίου ή, εάν οισυμβαλλόμενοι έχουν δικαίωμα να επιλέγουν το εφαρμοστέο δίκαιο, το δίκαιο που προτείνει ως επιλογή ο πάροχος PEPP,</w:t>
            </w:r>
          </w:p>
          <w:p w14:paraId="1B9299E7" w14:textId="77777777" w:rsidR="00AE0584" w:rsidRPr="006B3004" w:rsidRDefault="00AE0584" w:rsidP="006B3004">
            <w:pPr>
              <w:autoSpaceDE w:val="0"/>
              <w:autoSpaceDN w:val="0"/>
              <w:adjustRightInd w:val="0"/>
              <w:contextualSpacing/>
              <w:jc w:val="both"/>
              <w:rPr>
                <w:rFonts w:asciiTheme="minorHAnsi" w:eastAsia="Calibri" w:hAnsiTheme="minorHAnsi" w:cstheme="minorHAnsi"/>
                <w:sz w:val="24"/>
                <w:szCs w:val="24"/>
                <w:lang w:val="el-GR"/>
              </w:rPr>
            </w:pPr>
          </w:p>
          <w:p w14:paraId="6226E45E" w14:textId="77777777" w:rsidR="00AE0584" w:rsidRPr="006B3004" w:rsidRDefault="00AE0584" w:rsidP="006B3004">
            <w:pPr>
              <w:numPr>
                <w:ilvl w:val="0"/>
                <w:numId w:val="4"/>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 xml:space="preserve">όπου συντρέχει περίπτωση, το αν προβλέπεται περίοδος αναμονής ή υπαναχώρησης για τον αποταμιευτή </w:t>
            </w:r>
            <w:r w:rsidRPr="006B3004">
              <w:rPr>
                <w:rFonts w:asciiTheme="minorHAnsi" w:eastAsia="Calibri" w:hAnsiTheme="minorHAnsi" w:cstheme="minorHAnsi"/>
                <w:sz w:val="24"/>
                <w:szCs w:val="24"/>
              </w:rPr>
              <w:t>PEPP</w:t>
            </w:r>
            <w:r w:rsidRPr="006B3004">
              <w:rPr>
                <w:rFonts w:asciiTheme="minorHAnsi" w:eastAsia="Calibri" w:hAnsiTheme="minorHAnsi" w:cstheme="minorHAnsi"/>
                <w:sz w:val="24"/>
                <w:szCs w:val="24"/>
                <w:lang w:val="el-GR"/>
              </w:rPr>
              <w:t>.</w:t>
            </w:r>
          </w:p>
          <w:p w14:paraId="0913E5DC" w14:textId="77777777" w:rsidR="00AE0584" w:rsidRPr="006B3004" w:rsidRDefault="00AE0584" w:rsidP="006B3004">
            <w:pPr>
              <w:autoSpaceDE w:val="0"/>
              <w:autoSpaceDN w:val="0"/>
              <w:adjustRightInd w:val="0"/>
              <w:ind w:left="1080"/>
              <w:contextualSpacing/>
              <w:jc w:val="both"/>
              <w:rPr>
                <w:rFonts w:asciiTheme="minorHAnsi" w:eastAsia="Calibri" w:hAnsiTheme="minorHAnsi" w:cstheme="minorHAnsi"/>
                <w:sz w:val="24"/>
                <w:szCs w:val="24"/>
                <w:lang w:val="el-GR"/>
              </w:rPr>
            </w:pPr>
          </w:p>
        </w:tc>
        <w:tc>
          <w:tcPr>
            <w:tcW w:w="1276" w:type="dxa"/>
            <w:tcBorders>
              <w:top w:val="single" w:sz="4" w:space="0" w:color="auto"/>
              <w:left w:val="single" w:sz="4" w:space="0" w:color="auto"/>
              <w:bottom w:val="single" w:sz="4" w:space="0" w:color="auto"/>
              <w:right w:val="single" w:sz="4" w:space="0" w:color="auto"/>
            </w:tcBorders>
          </w:tcPr>
          <w:p w14:paraId="5B65D820"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14:paraId="6D212E18"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60" w:type="dxa"/>
            <w:tcBorders>
              <w:top w:val="single" w:sz="4" w:space="0" w:color="auto"/>
              <w:left w:val="single" w:sz="4" w:space="0" w:color="auto"/>
              <w:bottom w:val="single" w:sz="4" w:space="0" w:color="auto"/>
              <w:right w:val="single" w:sz="4" w:space="0" w:color="auto"/>
            </w:tcBorders>
          </w:tcPr>
          <w:p w14:paraId="2CF25332"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r>
      <w:tr w:rsidR="00AE0584" w:rsidRPr="00FA63DB" w14:paraId="35FC10AA" w14:textId="77777777" w:rsidTr="00AE0584">
        <w:trPr>
          <w:trHeight w:val="1591"/>
        </w:trPr>
        <w:tc>
          <w:tcPr>
            <w:tcW w:w="5223" w:type="dxa"/>
            <w:tcBorders>
              <w:top w:val="single" w:sz="4" w:space="0" w:color="auto"/>
              <w:left w:val="single" w:sz="4" w:space="0" w:color="auto"/>
              <w:bottom w:val="single" w:sz="4" w:space="0" w:color="auto"/>
              <w:right w:val="single" w:sz="4" w:space="0" w:color="auto"/>
            </w:tcBorders>
          </w:tcPr>
          <w:p w14:paraId="101A53F1" w14:textId="77777777" w:rsidR="00AE0584" w:rsidRPr="006B3004" w:rsidRDefault="00AE0584" w:rsidP="006B3004">
            <w:pPr>
              <w:autoSpaceDE w:val="0"/>
              <w:autoSpaceDN w:val="0"/>
              <w:adjustRightInd w:val="0"/>
              <w:jc w:val="both"/>
              <w:rPr>
                <w:rFonts w:asciiTheme="minorHAnsi" w:hAnsiTheme="minorHAnsi" w:cstheme="minorHAnsi"/>
                <w:sz w:val="24"/>
                <w:szCs w:val="24"/>
                <w:lang w:val="el-GR"/>
              </w:rPr>
            </w:pPr>
            <w:r w:rsidRPr="006B3004">
              <w:rPr>
                <w:rFonts w:asciiTheme="minorHAnsi" w:hAnsiTheme="minorHAnsi" w:cstheme="minorHAnsi"/>
                <w:sz w:val="24"/>
                <w:szCs w:val="24"/>
                <w:lang w:val="el-GR"/>
              </w:rPr>
              <w:lastRenderedPageBreak/>
              <w:t>δ) Σε τμήμα με τίτλο «Ποιοι είναι οι κίνδυνοι και τι μπορώ να κερδίσω;», σύντομη περιγραφή του προφίλ κινδύνου-ανταμοιβής, η οποία περιλαμβάνει τα ακόλουθα στοιχεία:</w:t>
            </w:r>
          </w:p>
          <w:p w14:paraId="5D1301C4" w14:textId="77777777" w:rsidR="00AE0584" w:rsidRPr="006B3004" w:rsidRDefault="00AE0584" w:rsidP="006B3004">
            <w:pPr>
              <w:autoSpaceDE w:val="0"/>
              <w:autoSpaceDN w:val="0"/>
              <w:adjustRightInd w:val="0"/>
              <w:jc w:val="both"/>
              <w:rPr>
                <w:rFonts w:asciiTheme="minorHAnsi" w:hAnsiTheme="minorHAnsi" w:cstheme="minorHAnsi"/>
                <w:sz w:val="24"/>
                <w:szCs w:val="24"/>
                <w:lang w:val="el-GR"/>
              </w:rPr>
            </w:pPr>
          </w:p>
          <w:p w14:paraId="3D37A567" w14:textId="77777777" w:rsidR="00AE0584" w:rsidRPr="006B3004" w:rsidRDefault="00AE0584" w:rsidP="006B3004">
            <w:pPr>
              <w:numPr>
                <w:ilvl w:val="0"/>
                <w:numId w:val="5"/>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συνοπτικό δείκτη κινδύνου, που συμπληρώνεται από αναλυτική επεξήγηση του εν λόγω δείκτη, τους βασικούς του περιορισμούς και μια αναλυτική επεξήγηση των κινδύνων που είναι ουσιωδώς συναφείς με το ΡΕΡΡ και δεν αντικατοπτρίζονται επαρκώς στον συνοπτικό δείκτη κινδύνου,</w:t>
            </w:r>
          </w:p>
          <w:p w14:paraId="1AD13B29" w14:textId="77777777" w:rsidR="00AE0584" w:rsidRPr="006B3004" w:rsidRDefault="00AE0584" w:rsidP="006B3004">
            <w:pPr>
              <w:autoSpaceDE w:val="0"/>
              <w:autoSpaceDN w:val="0"/>
              <w:adjustRightInd w:val="0"/>
              <w:ind w:left="720"/>
              <w:contextualSpacing/>
              <w:jc w:val="both"/>
              <w:rPr>
                <w:rFonts w:asciiTheme="minorHAnsi" w:eastAsia="Calibri" w:hAnsiTheme="minorHAnsi" w:cstheme="minorHAnsi"/>
                <w:sz w:val="24"/>
                <w:szCs w:val="24"/>
                <w:lang w:val="el-GR"/>
              </w:rPr>
            </w:pPr>
          </w:p>
          <w:p w14:paraId="67D74618" w14:textId="77777777" w:rsidR="00AE0584" w:rsidRPr="006B3004" w:rsidRDefault="00AE0584" w:rsidP="006B3004">
            <w:pPr>
              <w:numPr>
                <w:ilvl w:val="0"/>
                <w:numId w:val="5"/>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lastRenderedPageBreak/>
              <w:t>τη μέγιστη δυνατή απώλεια επενδεδυμένου κεφαλαίου, συμπεριλαμβανομένων πληροφοριών σχετικά με τα εξής:</w:t>
            </w:r>
          </w:p>
          <w:p w14:paraId="48A8FB62" w14:textId="77777777" w:rsidR="00AE0584" w:rsidRPr="006B3004" w:rsidRDefault="00AE0584" w:rsidP="006B3004">
            <w:pPr>
              <w:ind w:left="720"/>
              <w:contextualSpacing/>
              <w:rPr>
                <w:rFonts w:asciiTheme="minorHAnsi" w:eastAsia="Calibri" w:hAnsiTheme="minorHAnsi" w:cstheme="minorHAnsi"/>
                <w:sz w:val="24"/>
                <w:szCs w:val="24"/>
                <w:lang w:val="el-GR"/>
              </w:rPr>
            </w:pPr>
          </w:p>
          <w:p w14:paraId="15C0B153" w14:textId="77777777" w:rsidR="00AE0584" w:rsidRPr="006B3004" w:rsidRDefault="00AE0584" w:rsidP="006B3004">
            <w:pPr>
              <w:autoSpaceDE w:val="0"/>
              <w:autoSpaceDN w:val="0"/>
              <w:adjustRightInd w:val="0"/>
              <w:ind w:left="720"/>
              <w:contextualSpacing/>
              <w:jc w:val="both"/>
              <w:rPr>
                <w:rFonts w:asciiTheme="minorHAnsi" w:eastAsia="Calibri" w:hAnsiTheme="minorHAnsi" w:cstheme="minorHAnsi"/>
                <w:sz w:val="24"/>
                <w:szCs w:val="24"/>
                <w:lang w:val="el-GR"/>
              </w:rPr>
            </w:pPr>
          </w:p>
          <w:p w14:paraId="1C5F8503" w14:textId="77777777" w:rsidR="00AE0584" w:rsidRPr="006B3004" w:rsidRDefault="00AE0584" w:rsidP="006B3004">
            <w:pPr>
              <w:numPr>
                <w:ilvl w:val="0"/>
                <w:numId w:val="6"/>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 xml:space="preserve">αν είναι δυνατόν να χάσει ο αποταμιευτής </w:t>
            </w:r>
            <w:r w:rsidRPr="006B3004">
              <w:rPr>
                <w:rFonts w:asciiTheme="minorHAnsi" w:eastAsia="Calibri" w:hAnsiTheme="minorHAnsi" w:cstheme="minorHAnsi"/>
                <w:sz w:val="24"/>
                <w:szCs w:val="24"/>
              </w:rPr>
              <w:t>PEPP</w:t>
            </w:r>
            <w:r w:rsidRPr="006B3004">
              <w:rPr>
                <w:rFonts w:asciiTheme="minorHAnsi" w:eastAsia="Calibri" w:hAnsiTheme="minorHAnsi" w:cstheme="minorHAnsi"/>
                <w:sz w:val="24"/>
                <w:szCs w:val="24"/>
                <w:lang w:val="el-GR"/>
              </w:rPr>
              <w:t xml:space="preserve"> το σύνολο του επενδεδυμένου κεφαλαίου ή</w:t>
            </w:r>
          </w:p>
          <w:p w14:paraId="177E7EFC" w14:textId="77777777" w:rsidR="00AE0584" w:rsidRPr="006B3004" w:rsidRDefault="00AE0584" w:rsidP="006B3004">
            <w:pPr>
              <w:numPr>
                <w:ilvl w:val="0"/>
                <w:numId w:val="6"/>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 xml:space="preserve">εάν ο αποταμιευτής </w:t>
            </w:r>
            <w:r w:rsidRPr="006B3004">
              <w:rPr>
                <w:rFonts w:asciiTheme="minorHAnsi" w:eastAsia="Calibri" w:hAnsiTheme="minorHAnsi" w:cstheme="minorHAnsi"/>
                <w:sz w:val="24"/>
                <w:szCs w:val="24"/>
              </w:rPr>
              <w:t>PEPP</w:t>
            </w:r>
            <w:r w:rsidRPr="006B3004">
              <w:rPr>
                <w:rFonts w:asciiTheme="minorHAnsi" w:eastAsia="Calibri" w:hAnsiTheme="minorHAnsi" w:cstheme="minorHAnsi"/>
                <w:sz w:val="24"/>
                <w:szCs w:val="24"/>
                <w:lang w:val="el-GR"/>
              </w:rPr>
              <w:t xml:space="preserve"> διατρέχει τον κίνδυνο να αναλάβει πρόσθετες οικονομικές δεσμεύσεις ή υποχρεώσεις,</w:t>
            </w:r>
          </w:p>
          <w:p w14:paraId="6ADA5A8B" w14:textId="77777777" w:rsidR="00AE0584" w:rsidRPr="006B3004" w:rsidRDefault="00AE0584" w:rsidP="006B3004">
            <w:pPr>
              <w:autoSpaceDE w:val="0"/>
              <w:autoSpaceDN w:val="0"/>
              <w:adjustRightInd w:val="0"/>
              <w:ind w:left="1080"/>
              <w:contextualSpacing/>
              <w:jc w:val="both"/>
              <w:rPr>
                <w:rFonts w:asciiTheme="minorHAnsi" w:eastAsia="Calibri" w:hAnsiTheme="minorHAnsi" w:cstheme="minorHAnsi"/>
                <w:sz w:val="24"/>
                <w:szCs w:val="24"/>
                <w:lang w:val="el-GR"/>
              </w:rPr>
            </w:pPr>
          </w:p>
          <w:p w14:paraId="55D06DE5" w14:textId="77777777" w:rsidR="00AE0584" w:rsidRPr="006B3004" w:rsidRDefault="00AE0584" w:rsidP="006B3004">
            <w:pPr>
              <w:numPr>
                <w:ilvl w:val="0"/>
                <w:numId w:val="5"/>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κατάλληλα σενάρια επιδόσεων και τις παραδοχές επί των οποίων βασίστηκαν,</w:t>
            </w:r>
          </w:p>
          <w:p w14:paraId="3814DD82" w14:textId="77777777" w:rsidR="00AE0584" w:rsidRPr="006B3004" w:rsidRDefault="00AE0584" w:rsidP="006B3004">
            <w:pPr>
              <w:autoSpaceDE w:val="0"/>
              <w:autoSpaceDN w:val="0"/>
              <w:adjustRightInd w:val="0"/>
              <w:ind w:left="720"/>
              <w:contextualSpacing/>
              <w:jc w:val="both"/>
              <w:rPr>
                <w:rFonts w:asciiTheme="minorHAnsi" w:eastAsia="Calibri" w:hAnsiTheme="minorHAnsi" w:cstheme="minorHAnsi"/>
                <w:sz w:val="24"/>
                <w:szCs w:val="24"/>
                <w:lang w:val="el-GR"/>
              </w:rPr>
            </w:pPr>
          </w:p>
          <w:p w14:paraId="13828C9C" w14:textId="77777777" w:rsidR="00AE0584" w:rsidRPr="006B3004" w:rsidRDefault="00AE0584" w:rsidP="006B3004">
            <w:pPr>
              <w:numPr>
                <w:ilvl w:val="0"/>
                <w:numId w:val="5"/>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κατά περίπτωση, τους όρους της απόδοσης για τους αποταμιευτές ΡΕΡΡ ή τα ενσωματωμένα ανώτατα όρια απόδοσης,</w:t>
            </w:r>
          </w:p>
          <w:p w14:paraId="125901FC" w14:textId="77777777" w:rsidR="00AE0584" w:rsidRPr="006B3004" w:rsidRDefault="00AE0584" w:rsidP="006B3004">
            <w:pPr>
              <w:contextualSpacing/>
              <w:rPr>
                <w:rFonts w:asciiTheme="minorHAnsi" w:eastAsia="Calibri" w:hAnsiTheme="minorHAnsi" w:cstheme="minorHAnsi"/>
                <w:sz w:val="24"/>
                <w:szCs w:val="24"/>
                <w:lang w:val="el-GR"/>
              </w:rPr>
            </w:pPr>
          </w:p>
          <w:p w14:paraId="7BADD4B2" w14:textId="77777777" w:rsidR="00AE0584" w:rsidRPr="006B3004" w:rsidRDefault="00AE0584" w:rsidP="006B3004">
            <w:pPr>
              <w:autoSpaceDE w:val="0"/>
              <w:autoSpaceDN w:val="0"/>
              <w:adjustRightInd w:val="0"/>
              <w:ind w:left="720"/>
              <w:contextualSpacing/>
              <w:jc w:val="both"/>
              <w:rPr>
                <w:rFonts w:asciiTheme="minorHAnsi" w:eastAsia="Calibri" w:hAnsiTheme="minorHAnsi" w:cstheme="minorHAnsi"/>
                <w:sz w:val="24"/>
                <w:szCs w:val="24"/>
                <w:lang w:val="el-GR"/>
              </w:rPr>
            </w:pPr>
          </w:p>
          <w:p w14:paraId="56C59AB0" w14:textId="77777777" w:rsidR="00AE0584" w:rsidRPr="006B3004" w:rsidRDefault="00AE0584" w:rsidP="006B3004">
            <w:pPr>
              <w:numPr>
                <w:ilvl w:val="0"/>
                <w:numId w:val="5"/>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δήλωση ότι η φορολογική νομοθεσία του κράτους μέλους διαμονής του αποταμιευτή ΡΕΡΡ ενδέχεται να επηρεάσει το ύψος του ποσού που θα εισπραχθεί.</w:t>
            </w:r>
          </w:p>
        </w:tc>
        <w:tc>
          <w:tcPr>
            <w:tcW w:w="1276" w:type="dxa"/>
            <w:tcBorders>
              <w:top w:val="single" w:sz="4" w:space="0" w:color="auto"/>
              <w:left w:val="single" w:sz="4" w:space="0" w:color="auto"/>
              <w:bottom w:val="single" w:sz="4" w:space="0" w:color="auto"/>
              <w:right w:val="single" w:sz="4" w:space="0" w:color="auto"/>
            </w:tcBorders>
          </w:tcPr>
          <w:p w14:paraId="75CC2CAC"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14:paraId="34DAC16A"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60" w:type="dxa"/>
            <w:tcBorders>
              <w:top w:val="single" w:sz="4" w:space="0" w:color="auto"/>
              <w:left w:val="single" w:sz="4" w:space="0" w:color="auto"/>
              <w:bottom w:val="single" w:sz="4" w:space="0" w:color="auto"/>
              <w:right w:val="single" w:sz="4" w:space="0" w:color="auto"/>
            </w:tcBorders>
          </w:tcPr>
          <w:p w14:paraId="473ACDF5"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r>
      <w:tr w:rsidR="00AE0584" w:rsidRPr="00FA63DB" w14:paraId="34157A76" w14:textId="77777777" w:rsidTr="00AE0584">
        <w:trPr>
          <w:trHeight w:val="800"/>
        </w:trPr>
        <w:tc>
          <w:tcPr>
            <w:tcW w:w="5223" w:type="dxa"/>
            <w:tcBorders>
              <w:top w:val="single" w:sz="4" w:space="0" w:color="auto"/>
              <w:left w:val="single" w:sz="4" w:space="0" w:color="auto"/>
              <w:bottom w:val="single" w:sz="4" w:space="0" w:color="auto"/>
              <w:right w:val="single" w:sz="4" w:space="0" w:color="auto"/>
            </w:tcBorders>
            <w:hideMark/>
          </w:tcPr>
          <w:p w14:paraId="22180960" w14:textId="77777777" w:rsidR="00AE0584" w:rsidRPr="006B3004" w:rsidRDefault="00AE0584" w:rsidP="006B3004">
            <w:pPr>
              <w:autoSpaceDE w:val="0"/>
              <w:autoSpaceDN w:val="0"/>
              <w:adjustRightInd w:val="0"/>
              <w:jc w:val="both"/>
              <w:rPr>
                <w:rFonts w:asciiTheme="minorHAnsi" w:hAnsiTheme="minorHAnsi" w:cstheme="minorHAnsi"/>
                <w:sz w:val="24"/>
                <w:szCs w:val="24"/>
                <w:lang w:val="el-GR"/>
              </w:rPr>
            </w:pPr>
            <w:r w:rsidRPr="006B3004">
              <w:rPr>
                <w:rFonts w:asciiTheme="minorHAnsi" w:hAnsiTheme="minorHAnsi" w:cstheme="minorHAnsi"/>
                <w:sz w:val="24"/>
                <w:szCs w:val="24"/>
                <w:lang w:val="el-GR"/>
              </w:rPr>
              <w:t>(ε) Σε τμήμα με τίτλο «Τι συμβαίνει αν [όνομα του παρόχου ΡΕΡΡ] δεν είναι σε θέση να πληρώσει;», σύντομη περιγραφή του κατά πόσον η σχετική ζημία καλύπτεται μέσω συστήματος αποζημίωσης επενδυτών ή συστήματος εγγυήσεως και, εάν ναι, τι σύστημα είναι αυτό, πώς ονομάζεται ο εγγυητής και ποιοι κίνδυνοι καλύπτονται από το σύστημα και ποιοι όχι.</w:t>
            </w:r>
          </w:p>
        </w:tc>
        <w:tc>
          <w:tcPr>
            <w:tcW w:w="1276" w:type="dxa"/>
            <w:tcBorders>
              <w:top w:val="single" w:sz="4" w:space="0" w:color="auto"/>
              <w:left w:val="single" w:sz="4" w:space="0" w:color="auto"/>
              <w:bottom w:val="single" w:sz="4" w:space="0" w:color="auto"/>
              <w:right w:val="single" w:sz="4" w:space="0" w:color="auto"/>
            </w:tcBorders>
          </w:tcPr>
          <w:p w14:paraId="0F2C6385"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14:paraId="34F2AF46"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60" w:type="dxa"/>
            <w:tcBorders>
              <w:top w:val="single" w:sz="4" w:space="0" w:color="auto"/>
              <w:left w:val="single" w:sz="4" w:space="0" w:color="auto"/>
              <w:bottom w:val="single" w:sz="4" w:space="0" w:color="auto"/>
              <w:right w:val="single" w:sz="4" w:space="0" w:color="auto"/>
            </w:tcBorders>
          </w:tcPr>
          <w:p w14:paraId="5D3ACE9E"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r>
      <w:tr w:rsidR="00AE0584" w:rsidRPr="00FA63DB" w14:paraId="20E3D4D0" w14:textId="77777777" w:rsidTr="00AE0584">
        <w:trPr>
          <w:trHeight w:val="600"/>
        </w:trPr>
        <w:tc>
          <w:tcPr>
            <w:tcW w:w="5223" w:type="dxa"/>
            <w:tcBorders>
              <w:top w:val="single" w:sz="4" w:space="0" w:color="auto"/>
              <w:left w:val="single" w:sz="4" w:space="0" w:color="auto"/>
              <w:bottom w:val="single" w:sz="4" w:space="0" w:color="auto"/>
              <w:right w:val="single" w:sz="4" w:space="0" w:color="auto"/>
            </w:tcBorders>
          </w:tcPr>
          <w:p w14:paraId="41391C21" w14:textId="7102E9BE" w:rsidR="00AE0584" w:rsidRPr="006B3004" w:rsidRDefault="00AE0584" w:rsidP="006B3004">
            <w:pPr>
              <w:autoSpaceDE w:val="0"/>
              <w:autoSpaceDN w:val="0"/>
              <w:adjustRightInd w:val="0"/>
              <w:jc w:val="both"/>
              <w:rPr>
                <w:rFonts w:asciiTheme="minorHAnsi" w:hAnsiTheme="minorHAnsi" w:cstheme="minorHAnsi"/>
                <w:sz w:val="24"/>
                <w:szCs w:val="24"/>
                <w:lang w:val="el-GR"/>
              </w:rPr>
            </w:pPr>
            <w:r w:rsidRPr="006B3004">
              <w:rPr>
                <w:rFonts w:asciiTheme="minorHAnsi" w:hAnsiTheme="minorHAnsi" w:cstheme="minorHAnsi"/>
                <w:sz w:val="24"/>
                <w:szCs w:val="24"/>
                <w:lang w:val="el-GR"/>
              </w:rPr>
              <w:t>(</w:t>
            </w:r>
            <w:proofErr w:type="spellStart"/>
            <w:r w:rsidRPr="006B3004">
              <w:rPr>
                <w:rFonts w:asciiTheme="minorHAnsi" w:hAnsiTheme="minorHAnsi" w:cstheme="minorHAnsi"/>
                <w:sz w:val="24"/>
                <w:szCs w:val="24"/>
                <w:lang w:val="el-GR"/>
              </w:rPr>
              <w:t>στ</w:t>
            </w:r>
            <w:proofErr w:type="spellEnd"/>
            <w:r w:rsidRPr="006B3004">
              <w:rPr>
                <w:rFonts w:asciiTheme="minorHAnsi" w:hAnsiTheme="minorHAnsi" w:cstheme="minorHAnsi"/>
                <w:sz w:val="24"/>
                <w:szCs w:val="24"/>
                <w:lang w:val="el-GR"/>
              </w:rPr>
              <w:t xml:space="preserve">) Σε τμήμα με τίτλο «Ποιο είναι το κόστος;», το κόστος που συνδέεται με μια επένδυση στο ΡΕΡΡ, το οποίο περιλαμβάνει τόσο τις άμεσες όσο και τις έμμεσες δαπάνες που θα βαρύνουν τον αποταμιευτή ΡΕΡΡ, είτε άπαξ είτε περιοδικά, παρουσιαζόμενων υπό τη μορφή συνοπτικών δεικτών αυτών των δαπανών, και, για να διασφαλιστεί η </w:t>
            </w:r>
            <w:proofErr w:type="spellStart"/>
            <w:r w:rsidRPr="006B3004">
              <w:rPr>
                <w:rFonts w:asciiTheme="minorHAnsi" w:hAnsiTheme="minorHAnsi" w:cstheme="minorHAnsi"/>
                <w:sz w:val="24"/>
                <w:szCs w:val="24"/>
                <w:lang w:val="el-GR"/>
              </w:rPr>
              <w:t>συγκρισιμότητα</w:t>
            </w:r>
            <w:proofErr w:type="spellEnd"/>
            <w:r w:rsidRPr="006B3004">
              <w:rPr>
                <w:rFonts w:asciiTheme="minorHAnsi" w:hAnsiTheme="minorHAnsi" w:cstheme="minorHAnsi"/>
                <w:sz w:val="24"/>
                <w:szCs w:val="24"/>
                <w:lang w:val="el-GR"/>
              </w:rPr>
              <w:t xml:space="preserve">, τις συνολικές αθροισμένες δαπάνες εκφρασμένες σε χρήμα και ποσοστό, ώστε να καταδεικνύονται οι συναθροισμένες επιπτώσεις των συνολικών δαπανών στην επένδυση. </w:t>
            </w:r>
          </w:p>
          <w:p w14:paraId="55711268" w14:textId="7724E196" w:rsidR="00AE0584" w:rsidRPr="006B3004" w:rsidRDefault="00AE0584" w:rsidP="006B3004">
            <w:pPr>
              <w:autoSpaceDE w:val="0"/>
              <w:autoSpaceDN w:val="0"/>
              <w:adjustRightInd w:val="0"/>
              <w:jc w:val="both"/>
              <w:rPr>
                <w:rFonts w:asciiTheme="minorHAnsi" w:hAnsiTheme="minorHAnsi" w:cstheme="minorHAnsi"/>
                <w:b/>
                <w:sz w:val="24"/>
                <w:szCs w:val="24"/>
                <w:lang w:val="el-GR"/>
              </w:rPr>
            </w:pPr>
            <w:r w:rsidRPr="006B3004">
              <w:rPr>
                <w:rFonts w:asciiTheme="minorHAnsi" w:hAnsiTheme="minorHAnsi" w:cstheme="minorHAnsi"/>
                <w:sz w:val="24"/>
                <w:szCs w:val="24"/>
                <w:lang w:val="el-GR"/>
              </w:rPr>
              <w:t xml:space="preserve">Το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 xml:space="preserve"> </w:t>
            </w:r>
            <w:r w:rsidRPr="006B3004">
              <w:rPr>
                <w:rFonts w:asciiTheme="minorHAnsi" w:hAnsiTheme="minorHAnsi" w:cstheme="minorHAnsi"/>
                <w:sz w:val="24"/>
                <w:szCs w:val="24"/>
              </w:rPr>
              <w:t>KID</w:t>
            </w:r>
            <w:r w:rsidRPr="006B3004">
              <w:rPr>
                <w:rFonts w:asciiTheme="minorHAnsi" w:hAnsiTheme="minorHAnsi" w:cstheme="minorHAnsi"/>
                <w:sz w:val="24"/>
                <w:szCs w:val="24"/>
                <w:lang w:val="el-GR"/>
              </w:rPr>
              <w:t xml:space="preserve"> αναφέρει ρητώς ότι ο πάροχος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 xml:space="preserve"> ή ο διανομέας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 xml:space="preserve"> παρέχουν πληροφορίες για </w:t>
            </w:r>
            <w:r w:rsidRPr="006B3004">
              <w:rPr>
                <w:rFonts w:asciiTheme="minorHAnsi" w:hAnsiTheme="minorHAnsi" w:cstheme="minorHAnsi"/>
                <w:sz w:val="24"/>
                <w:szCs w:val="24"/>
                <w:lang w:val="el-GR"/>
              </w:rPr>
              <w:lastRenderedPageBreak/>
              <w:t>τυχόν κόστος διανομής που δεν περιλαμβάνεται ήδη στις ανωτέρω αναφερόμενες δαπάνες, προκειμένου ο αποταμιευτής ΡΕΡΡ να μπορέσει να κατανοήσει το σωρευτικό αποτέλεσμα αυτών των συναθροιζόμενων δαπανών στην απόδοση της επένδυσης.</w:t>
            </w:r>
          </w:p>
        </w:tc>
        <w:tc>
          <w:tcPr>
            <w:tcW w:w="1276" w:type="dxa"/>
            <w:tcBorders>
              <w:top w:val="single" w:sz="4" w:space="0" w:color="auto"/>
              <w:left w:val="single" w:sz="4" w:space="0" w:color="auto"/>
              <w:bottom w:val="single" w:sz="4" w:space="0" w:color="auto"/>
              <w:right w:val="single" w:sz="4" w:space="0" w:color="auto"/>
            </w:tcBorders>
          </w:tcPr>
          <w:p w14:paraId="6DDBFFFD"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14:paraId="2BF86F71"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60" w:type="dxa"/>
            <w:tcBorders>
              <w:top w:val="single" w:sz="4" w:space="0" w:color="auto"/>
              <w:left w:val="single" w:sz="4" w:space="0" w:color="auto"/>
              <w:bottom w:val="single" w:sz="4" w:space="0" w:color="auto"/>
              <w:right w:val="single" w:sz="4" w:space="0" w:color="auto"/>
            </w:tcBorders>
          </w:tcPr>
          <w:p w14:paraId="74D8167E"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r>
      <w:tr w:rsidR="00AE0584" w:rsidRPr="00FA63DB" w14:paraId="2168EA82" w14:textId="77777777" w:rsidTr="00AE0584">
        <w:trPr>
          <w:trHeight w:val="600"/>
        </w:trPr>
        <w:tc>
          <w:tcPr>
            <w:tcW w:w="5223" w:type="dxa"/>
            <w:tcBorders>
              <w:top w:val="single" w:sz="4" w:space="0" w:color="auto"/>
              <w:left w:val="single" w:sz="4" w:space="0" w:color="auto"/>
              <w:bottom w:val="single" w:sz="4" w:space="0" w:color="auto"/>
              <w:right w:val="single" w:sz="4" w:space="0" w:color="auto"/>
            </w:tcBorders>
          </w:tcPr>
          <w:p w14:paraId="5F67FEE9" w14:textId="77777777" w:rsidR="00AE0584" w:rsidRPr="006B3004" w:rsidRDefault="00AE0584" w:rsidP="006B3004">
            <w:pPr>
              <w:autoSpaceDE w:val="0"/>
              <w:autoSpaceDN w:val="0"/>
              <w:adjustRightInd w:val="0"/>
              <w:jc w:val="both"/>
              <w:rPr>
                <w:rFonts w:asciiTheme="minorHAnsi" w:hAnsiTheme="minorHAnsi" w:cstheme="minorHAnsi"/>
                <w:sz w:val="24"/>
                <w:szCs w:val="24"/>
                <w:lang w:val="el-GR"/>
              </w:rPr>
            </w:pPr>
            <w:r w:rsidRPr="006B3004">
              <w:rPr>
                <w:rFonts w:asciiTheme="minorHAnsi" w:hAnsiTheme="minorHAnsi" w:cstheme="minorHAnsi"/>
                <w:sz w:val="24"/>
                <w:szCs w:val="24"/>
                <w:lang w:val="el-GR"/>
              </w:rPr>
              <w:t>ζ) Σε ένα τμήμα με τίτλο «Ποιες είναι οι ειδικές απαιτήσεις για τον υπολογαριασμό που αντιστοιχεί στο [κράτος μέλος διαμονής μου]»:</w:t>
            </w:r>
          </w:p>
          <w:p w14:paraId="33AB1832" w14:textId="77777777" w:rsidR="00AE0584" w:rsidRPr="006B3004" w:rsidRDefault="00AE0584" w:rsidP="006B3004">
            <w:pPr>
              <w:autoSpaceDE w:val="0"/>
              <w:autoSpaceDN w:val="0"/>
              <w:adjustRightInd w:val="0"/>
              <w:jc w:val="both"/>
              <w:rPr>
                <w:rFonts w:asciiTheme="minorHAnsi" w:hAnsiTheme="minorHAnsi" w:cstheme="minorHAnsi"/>
                <w:sz w:val="24"/>
                <w:szCs w:val="24"/>
                <w:lang w:val="el-GR"/>
              </w:rPr>
            </w:pPr>
          </w:p>
          <w:p w14:paraId="45CC110D" w14:textId="77777777" w:rsidR="00AE0584" w:rsidRPr="006B3004" w:rsidRDefault="00AE0584" w:rsidP="006B3004">
            <w:pPr>
              <w:numPr>
                <w:ilvl w:val="0"/>
                <w:numId w:val="7"/>
              </w:numPr>
              <w:autoSpaceDE w:val="0"/>
              <w:autoSpaceDN w:val="0"/>
              <w:adjustRightInd w:val="0"/>
              <w:contextualSpacing/>
              <w:jc w:val="both"/>
              <w:rPr>
                <w:rFonts w:asciiTheme="minorHAnsi" w:eastAsia="Calibri" w:hAnsiTheme="minorHAnsi" w:cstheme="minorHAnsi"/>
                <w:sz w:val="24"/>
                <w:szCs w:val="24"/>
                <w:lang w:val="el-GR"/>
              </w:rPr>
            </w:pPr>
            <w:r w:rsidRPr="006B3004">
              <w:rPr>
                <w:rFonts w:asciiTheme="minorHAnsi" w:eastAsia="Calibri" w:hAnsiTheme="minorHAnsi" w:cstheme="minorHAnsi"/>
                <w:sz w:val="24"/>
                <w:szCs w:val="24"/>
                <w:lang w:val="el-GR"/>
              </w:rPr>
              <w:t>σε επιμέρους τμήμα με τίτλο «Απαιτήσεις για τη φάση πληρωμής», περιγραφή των όρων για τη φάση συσσώρευσης, όπως καθορίζονται από το κράτος μέλος διαμονής του αποταμιευτή PEPP σύμφωνα με το άρθρο 47 του Κανονισμού,</w:t>
            </w:r>
          </w:p>
          <w:p w14:paraId="40B7063A" w14:textId="77777777" w:rsidR="00AE0584" w:rsidRPr="006B3004" w:rsidRDefault="00AE0584" w:rsidP="006B3004">
            <w:pPr>
              <w:autoSpaceDE w:val="0"/>
              <w:autoSpaceDN w:val="0"/>
              <w:adjustRightInd w:val="0"/>
              <w:ind w:left="720"/>
              <w:contextualSpacing/>
              <w:jc w:val="both"/>
              <w:rPr>
                <w:rFonts w:asciiTheme="minorHAnsi" w:eastAsia="Calibri" w:hAnsiTheme="minorHAnsi" w:cstheme="minorHAnsi"/>
                <w:b/>
                <w:sz w:val="24"/>
                <w:szCs w:val="24"/>
                <w:lang w:val="el-GR"/>
              </w:rPr>
            </w:pPr>
          </w:p>
          <w:p w14:paraId="4876A521" w14:textId="77777777" w:rsidR="00AE0584" w:rsidRPr="006B3004" w:rsidRDefault="00AE0584" w:rsidP="006B3004">
            <w:pPr>
              <w:numPr>
                <w:ilvl w:val="0"/>
                <w:numId w:val="7"/>
              </w:numPr>
              <w:autoSpaceDE w:val="0"/>
              <w:autoSpaceDN w:val="0"/>
              <w:adjustRightInd w:val="0"/>
              <w:contextualSpacing/>
              <w:jc w:val="both"/>
              <w:rPr>
                <w:rFonts w:asciiTheme="minorHAnsi" w:eastAsia="Calibri" w:hAnsiTheme="minorHAnsi" w:cstheme="minorHAnsi"/>
                <w:b/>
                <w:sz w:val="24"/>
                <w:szCs w:val="24"/>
                <w:lang w:val="el-GR"/>
              </w:rPr>
            </w:pPr>
            <w:r w:rsidRPr="006B3004">
              <w:rPr>
                <w:rFonts w:asciiTheme="minorHAnsi" w:eastAsia="Calibri" w:hAnsiTheme="minorHAnsi" w:cstheme="minorHAnsi"/>
                <w:sz w:val="24"/>
                <w:szCs w:val="24"/>
                <w:lang w:val="el-GR"/>
              </w:rPr>
              <w:t xml:space="preserve">σε επιμέρους τμήμα με τίτλο «Απαιτήσεις για τη φάση πληρωμής», περιγραφή των όρων για τη φάση αποσυσσώρευσης, όπως καθορίζονται από το κράτος μέλος διαμονής του αποταμιευτή </w:t>
            </w:r>
            <w:r w:rsidRPr="006B3004">
              <w:rPr>
                <w:rFonts w:asciiTheme="minorHAnsi" w:eastAsia="Calibri" w:hAnsiTheme="minorHAnsi" w:cstheme="minorHAnsi"/>
                <w:sz w:val="24"/>
                <w:szCs w:val="24"/>
              </w:rPr>
              <w:t>PEPP</w:t>
            </w:r>
            <w:r w:rsidRPr="006B3004">
              <w:rPr>
                <w:rFonts w:asciiTheme="minorHAnsi" w:eastAsia="Calibri" w:hAnsiTheme="minorHAnsi" w:cstheme="minorHAnsi"/>
                <w:sz w:val="24"/>
                <w:szCs w:val="24"/>
                <w:lang w:val="el-GR"/>
              </w:rPr>
              <w:t xml:space="preserve"> σύμφωνα με το άρθρο 57 του Κανονισμού.</w:t>
            </w:r>
          </w:p>
        </w:tc>
        <w:tc>
          <w:tcPr>
            <w:tcW w:w="1276" w:type="dxa"/>
            <w:tcBorders>
              <w:top w:val="single" w:sz="4" w:space="0" w:color="auto"/>
              <w:left w:val="single" w:sz="4" w:space="0" w:color="auto"/>
              <w:bottom w:val="single" w:sz="4" w:space="0" w:color="auto"/>
              <w:right w:val="single" w:sz="4" w:space="0" w:color="auto"/>
            </w:tcBorders>
          </w:tcPr>
          <w:p w14:paraId="0AA9B676"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14:paraId="2BC98DAF"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60" w:type="dxa"/>
            <w:tcBorders>
              <w:top w:val="single" w:sz="4" w:space="0" w:color="auto"/>
              <w:left w:val="single" w:sz="4" w:space="0" w:color="auto"/>
              <w:bottom w:val="single" w:sz="4" w:space="0" w:color="auto"/>
              <w:right w:val="single" w:sz="4" w:space="0" w:color="auto"/>
            </w:tcBorders>
          </w:tcPr>
          <w:p w14:paraId="6E4D2A9E"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r>
      <w:tr w:rsidR="00AE0584" w:rsidRPr="00FA63DB" w14:paraId="1B99F04F" w14:textId="77777777" w:rsidTr="00AE0584">
        <w:trPr>
          <w:trHeight w:val="600"/>
        </w:trPr>
        <w:tc>
          <w:tcPr>
            <w:tcW w:w="5223" w:type="dxa"/>
            <w:tcBorders>
              <w:top w:val="single" w:sz="4" w:space="0" w:color="auto"/>
              <w:left w:val="single" w:sz="4" w:space="0" w:color="auto"/>
              <w:bottom w:val="single" w:sz="4" w:space="0" w:color="auto"/>
              <w:right w:val="single" w:sz="4" w:space="0" w:color="auto"/>
            </w:tcBorders>
            <w:hideMark/>
          </w:tcPr>
          <w:p w14:paraId="50F9417C" w14:textId="77777777" w:rsidR="00AE0584" w:rsidRPr="006B3004" w:rsidRDefault="00AE0584" w:rsidP="006B3004">
            <w:pPr>
              <w:autoSpaceDE w:val="0"/>
              <w:autoSpaceDN w:val="0"/>
              <w:adjustRightInd w:val="0"/>
              <w:jc w:val="both"/>
              <w:rPr>
                <w:rFonts w:asciiTheme="minorHAnsi" w:hAnsiTheme="minorHAnsi" w:cstheme="minorHAnsi"/>
                <w:b/>
                <w:sz w:val="24"/>
                <w:szCs w:val="24"/>
                <w:lang w:val="el-GR"/>
              </w:rPr>
            </w:pPr>
            <w:r w:rsidRPr="006B3004">
              <w:rPr>
                <w:rFonts w:asciiTheme="minorHAnsi" w:hAnsiTheme="minorHAnsi" w:cstheme="minorHAnsi"/>
                <w:sz w:val="24"/>
                <w:szCs w:val="24"/>
                <w:lang w:val="el-GR"/>
              </w:rPr>
              <w:t xml:space="preserve">η) Σε τμήμα με τίτλο «Πώς μπορώ να υποβάλω καταγγελία», πληροφορίες σχετικά με το πώς και σε ποιους μπορεί ο αποταμιευτής ΡΕΡΡ να υποβάλει καταγγελίες για το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 xml:space="preserve"> ή τη συμπεριφορά του παρόχου ΡΕΡΡ ή του διανομέα </w:t>
            </w:r>
            <w:r w:rsidRPr="006B3004">
              <w:rPr>
                <w:rFonts w:asciiTheme="minorHAnsi" w:hAnsiTheme="minorHAnsi" w:cstheme="minorHAnsi"/>
                <w:sz w:val="24"/>
                <w:szCs w:val="24"/>
              </w:rPr>
              <w:t>PEPP</w:t>
            </w:r>
            <w:r w:rsidRPr="006B3004">
              <w:rPr>
                <w:rFonts w:asciiTheme="minorHAnsi" w:hAnsiTheme="minorHAnsi" w:cstheme="minorHAnsi"/>
                <w:sz w:val="24"/>
                <w:szCs w:val="24"/>
                <w:lang w:val="el-GR"/>
              </w:rPr>
              <w:t>.</w:t>
            </w:r>
          </w:p>
        </w:tc>
        <w:tc>
          <w:tcPr>
            <w:tcW w:w="1276" w:type="dxa"/>
            <w:tcBorders>
              <w:top w:val="single" w:sz="4" w:space="0" w:color="auto"/>
              <w:left w:val="single" w:sz="4" w:space="0" w:color="auto"/>
              <w:bottom w:val="single" w:sz="4" w:space="0" w:color="auto"/>
              <w:right w:val="single" w:sz="4" w:space="0" w:color="auto"/>
            </w:tcBorders>
          </w:tcPr>
          <w:p w14:paraId="05521E19"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14:paraId="3A5955B6"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c>
          <w:tcPr>
            <w:tcW w:w="1560" w:type="dxa"/>
            <w:tcBorders>
              <w:top w:val="single" w:sz="4" w:space="0" w:color="auto"/>
              <w:left w:val="single" w:sz="4" w:space="0" w:color="auto"/>
              <w:bottom w:val="single" w:sz="4" w:space="0" w:color="auto"/>
              <w:right w:val="single" w:sz="4" w:space="0" w:color="auto"/>
            </w:tcBorders>
          </w:tcPr>
          <w:p w14:paraId="1039FC8A" w14:textId="77777777" w:rsidR="00AE0584" w:rsidRPr="006B3004" w:rsidRDefault="00AE0584" w:rsidP="006B3004">
            <w:pPr>
              <w:autoSpaceDE w:val="0"/>
              <w:autoSpaceDN w:val="0"/>
              <w:adjustRightInd w:val="0"/>
              <w:jc w:val="center"/>
              <w:rPr>
                <w:rFonts w:asciiTheme="minorHAnsi" w:hAnsiTheme="minorHAnsi" w:cstheme="minorHAnsi"/>
                <w:b/>
                <w:sz w:val="24"/>
                <w:szCs w:val="24"/>
                <w:lang w:val="el-GR"/>
              </w:rPr>
            </w:pPr>
          </w:p>
        </w:tc>
      </w:tr>
    </w:tbl>
    <w:p w14:paraId="7BA4C6AF" w14:textId="77777777" w:rsidR="00AE0584" w:rsidRPr="00AE0584" w:rsidRDefault="00AE0584" w:rsidP="00AE0584">
      <w:pPr>
        <w:autoSpaceDE w:val="0"/>
        <w:autoSpaceDN w:val="0"/>
        <w:adjustRightInd w:val="0"/>
        <w:jc w:val="both"/>
        <w:rPr>
          <w:rFonts w:ascii="Calibri" w:eastAsia="CIDFont+F3" w:hAnsi="Calibri" w:cs="Calibri"/>
          <w:color w:val="000000"/>
          <w:sz w:val="24"/>
          <w:szCs w:val="24"/>
          <w:lang w:val="el-GR"/>
        </w:rPr>
      </w:pPr>
    </w:p>
    <w:p w14:paraId="7B672C6B" w14:textId="77777777" w:rsidR="00AE0584" w:rsidRPr="00AE0584" w:rsidRDefault="00AE0584" w:rsidP="00AE0584">
      <w:pPr>
        <w:autoSpaceDE w:val="0"/>
        <w:autoSpaceDN w:val="0"/>
        <w:adjustRightInd w:val="0"/>
        <w:jc w:val="both"/>
        <w:rPr>
          <w:rFonts w:ascii="Calibri" w:eastAsia="CIDFont+F3" w:hAnsi="Calibri" w:cs="Calibri"/>
          <w:color w:val="000000"/>
          <w:sz w:val="24"/>
          <w:szCs w:val="24"/>
          <w:lang w:val="el-GR"/>
        </w:rPr>
      </w:pPr>
    </w:p>
    <w:bookmarkEnd w:id="0"/>
    <w:p w14:paraId="7B979A1D" w14:textId="77777777" w:rsidR="00272F12" w:rsidRPr="00AE0584" w:rsidRDefault="00272F12" w:rsidP="00047FBB">
      <w:pPr>
        <w:tabs>
          <w:tab w:val="left" w:pos="4820"/>
          <w:tab w:val="left" w:pos="5387"/>
          <w:tab w:val="left" w:pos="5670"/>
          <w:tab w:val="left" w:pos="5812"/>
          <w:tab w:val="left" w:pos="5954"/>
          <w:tab w:val="left" w:pos="6075"/>
          <w:tab w:val="left" w:pos="6237"/>
          <w:tab w:val="left" w:pos="6379"/>
          <w:tab w:val="left" w:pos="6946"/>
          <w:tab w:val="left" w:pos="7088"/>
          <w:tab w:val="left" w:pos="7230"/>
        </w:tabs>
        <w:ind w:right="43"/>
        <w:jc w:val="both"/>
        <w:rPr>
          <w:rFonts w:asciiTheme="minorHAnsi" w:eastAsiaTheme="minorHAnsi" w:hAnsiTheme="minorHAnsi" w:cstheme="minorHAnsi"/>
          <w:bCs/>
          <w:sz w:val="12"/>
          <w:szCs w:val="12"/>
          <w:lang w:val="el-GR"/>
        </w:rPr>
      </w:pPr>
    </w:p>
    <w:sectPr w:rsidR="00272F12" w:rsidRPr="00AE0584" w:rsidSect="00207846">
      <w:headerReference w:type="default" r:id="rId8"/>
      <w:footerReference w:type="default" r:id="rId9"/>
      <w:headerReference w:type="first" r:id="rId10"/>
      <w:footerReference w:type="first" r:id="rId11"/>
      <w:pgSz w:w="11907" w:h="16839" w:code="9"/>
      <w:pgMar w:top="1629" w:right="1304" w:bottom="1531" w:left="1304" w:header="540"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C7699" w14:textId="77777777" w:rsidR="003E1B83" w:rsidRDefault="003E1B83" w:rsidP="00291F10">
      <w:r>
        <w:separator/>
      </w:r>
    </w:p>
  </w:endnote>
  <w:endnote w:type="continuationSeparator" w:id="0">
    <w:p w14:paraId="7403FD2C" w14:textId="77777777" w:rsidR="003E1B83" w:rsidRDefault="003E1B83" w:rsidP="0029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3">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24CDB" w14:textId="77777777" w:rsidR="00C447CC" w:rsidRDefault="00C447CC">
    <w:pPr>
      <w:pStyle w:val="Footer"/>
      <w:jc w:val="right"/>
    </w:pPr>
    <w:r>
      <w:rPr>
        <w:noProof/>
        <w:lang w:val="en-US"/>
      </w:rPr>
      <w:drawing>
        <wp:anchor distT="0" distB="0" distL="114300" distR="114300" simplePos="0" relativeHeight="251663360" behindDoc="0" locked="0" layoutInCell="1" allowOverlap="1" wp14:anchorId="744B5E98" wp14:editId="0A78EEA0">
          <wp:simplePos x="0" y="0"/>
          <wp:positionH relativeFrom="margin">
            <wp:posOffset>-457835</wp:posOffset>
          </wp:positionH>
          <wp:positionV relativeFrom="margin">
            <wp:posOffset>8802794</wp:posOffset>
          </wp:positionV>
          <wp:extent cx="6813302" cy="495300"/>
          <wp:effectExtent l="0" t="0" r="6985" b="0"/>
          <wp:wrapSquare wrapText="bothSides"/>
          <wp:docPr id="229" name="Picture 229"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3302" cy="495300"/>
                  </a:xfrm>
                  <a:prstGeom prst="rect">
                    <a:avLst/>
                  </a:prstGeom>
                  <a:noFill/>
                  <a:ln>
                    <a:noFill/>
                  </a:ln>
                </pic:spPr>
              </pic:pic>
            </a:graphicData>
          </a:graphic>
        </wp:anchor>
      </w:drawing>
    </w:r>
  </w:p>
  <w:p w14:paraId="43CB1605" w14:textId="77777777" w:rsidR="00C447CC" w:rsidRDefault="00C44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93ACD" w14:textId="77777777" w:rsidR="00C447CC" w:rsidRDefault="00C447CC">
    <w:pPr>
      <w:pStyle w:val="Footer"/>
    </w:pPr>
    <w:r>
      <w:rPr>
        <w:noProof/>
        <w:lang w:val="en-US"/>
      </w:rPr>
      <w:drawing>
        <wp:anchor distT="0" distB="0" distL="114300" distR="114300" simplePos="0" relativeHeight="251662336" behindDoc="0" locked="0" layoutInCell="1" allowOverlap="1" wp14:anchorId="6715ABD8" wp14:editId="456E5E0D">
          <wp:simplePos x="0" y="0"/>
          <wp:positionH relativeFrom="margin">
            <wp:posOffset>-591185</wp:posOffset>
          </wp:positionH>
          <wp:positionV relativeFrom="margin">
            <wp:posOffset>8658225</wp:posOffset>
          </wp:positionV>
          <wp:extent cx="7077974" cy="514985"/>
          <wp:effectExtent l="0" t="0" r="8890" b="0"/>
          <wp:wrapSquare wrapText="bothSides"/>
          <wp:docPr id="231" name="Picture 231"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077974" cy="51498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85692" w14:textId="77777777" w:rsidR="003E1B83" w:rsidRDefault="003E1B83" w:rsidP="00291F10">
      <w:r>
        <w:separator/>
      </w:r>
    </w:p>
  </w:footnote>
  <w:footnote w:type="continuationSeparator" w:id="0">
    <w:p w14:paraId="3AA1103A" w14:textId="77777777" w:rsidR="003E1B83" w:rsidRDefault="003E1B83" w:rsidP="00291F10">
      <w:r>
        <w:continuationSeparator/>
      </w:r>
    </w:p>
  </w:footnote>
  <w:footnote w:id="1">
    <w:p w14:paraId="61005800" w14:textId="532DFD2D" w:rsidR="004B24B4" w:rsidRPr="006B3004" w:rsidRDefault="004B24B4">
      <w:pPr>
        <w:pStyle w:val="FootnoteText"/>
        <w:rPr>
          <w:rFonts w:asciiTheme="minorHAnsi" w:hAnsiTheme="minorHAnsi" w:cstheme="minorHAnsi"/>
          <w:lang w:val="el-GR"/>
        </w:rPr>
      </w:pPr>
      <w:r w:rsidRPr="006B3004">
        <w:rPr>
          <w:rStyle w:val="FootnoteReference"/>
          <w:rFonts w:asciiTheme="minorHAnsi" w:hAnsiTheme="minorHAnsi" w:cstheme="minorHAnsi"/>
        </w:rPr>
        <w:footnoteRef/>
      </w:r>
      <w:r w:rsidRPr="006B3004">
        <w:rPr>
          <w:rFonts w:asciiTheme="minorHAnsi" w:hAnsiTheme="minorHAnsi" w:cstheme="minorHAnsi"/>
          <w:lang w:val="el-GR"/>
        </w:rPr>
        <w:t xml:space="preserve"> </w:t>
      </w:r>
      <w:r w:rsidR="006B3004" w:rsidRPr="006B3004">
        <w:rPr>
          <w:rFonts w:asciiTheme="minorHAnsi" w:hAnsiTheme="minorHAnsi" w:cstheme="minorHAnsi"/>
          <w:lang w:val="el-GR"/>
        </w:rPr>
        <w:t xml:space="preserve"> Περιβαλλοντικοί, Κοινωνικοί και σχετικοί με τη Διακυβέρνηση (ΠΚΔ) παράγοντες.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649596"/>
      <w:docPartObj>
        <w:docPartGallery w:val="Page Numbers (Top of Page)"/>
        <w:docPartUnique/>
      </w:docPartObj>
    </w:sdtPr>
    <w:sdtEndPr/>
    <w:sdtContent>
      <w:p w14:paraId="15B71483" w14:textId="26DA873D" w:rsidR="00C447CC" w:rsidRDefault="00C447CC">
        <w:pPr>
          <w:pStyle w:val="Header"/>
          <w:jc w:val="right"/>
        </w:pPr>
        <w:r>
          <w:rPr>
            <w:lang w:val="el-GR"/>
          </w:rPr>
          <w:t>Σελίδα</w:t>
        </w:r>
        <w:r>
          <w:t xml:space="preserve"> </w:t>
        </w:r>
        <w:r>
          <w:rPr>
            <w:b/>
            <w:bCs/>
            <w:sz w:val="24"/>
            <w:szCs w:val="24"/>
          </w:rPr>
          <w:fldChar w:fldCharType="begin"/>
        </w:r>
        <w:r>
          <w:rPr>
            <w:b/>
            <w:bCs/>
          </w:rPr>
          <w:instrText xml:space="preserve"> PAGE </w:instrText>
        </w:r>
        <w:r>
          <w:rPr>
            <w:b/>
            <w:bCs/>
            <w:sz w:val="24"/>
            <w:szCs w:val="24"/>
          </w:rPr>
          <w:fldChar w:fldCharType="separate"/>
        </w:r>
        <w:r w:rsidR="00FA63DB">
          <w:rPr>
            <w:b/>
            <w:bCs/>
            <w:noProof/>
          </w:rPr>
          <w:t>4</w:t>
        </w:r>
        <w:r>
          <w:rPr>
            <w:b/>
            <w:bCs/>
            <w:sz w:val="24"/>
            <w:szCs w:val="24"/>
          </w:rPr>
          <w:fldChar w:fldCharType="end"/>
        </w:r>
        <w:r>
          <w:t xml:space="preserve"> </w:t>
        </w:r>
        <w:r>
          <w:rPr>
            <w:lang w:val="el-GR"/>
          </w:rPr>
          <w:t>από</w:t>
        </w:r>
        <w:r>
          <w:t xml:space="preserve"> </w:t>
        </w:r>
        <w:r>
          <w:rPr>
            <w:b/>
            <w:bCs/>
            <w:sz w:val="24"/>
            <w:szCs w:val="24"/>
          </w:rPr>
          <w:fldChar w:fldCharType="begin"/>
        </w:r>
        <w:r>
          <w:rPr>
            <w:b/>
            <w:bCs/>
          </w:rPr>
          <w:instrText xml:space="preserve"> NUMPAGES  </w:instrText>
        </w:r>
        <w:r>
          <w:rPr>
            <w:b/>
            <w:bCs/>
            <w:sz w:val="24"/>
            <w:szCs w:val="24"/>
          </w:rPr>
          <w:fldChar w:fldCharType="separate"/>
        </w:r>
        <w:r w:rsidR="00FA63DB">
          <w:rPr>
            <w:b/>
            <w:bCs/>
            <w:noProof/>
          </w:rPr>
          <w:t>7</w:t>
        </w:r>
        <w:r>
          <w:rPr>
            <w:b/>
            <w:bCs/>
            <w:sz w:val="24"/>
            <w:szCs w:val="24"/>
          </w:rPr>
          <w:fldChar w:fldCharType="end"/>
        </w:r>
      </w:p>
    </w:sdtContent>
  </w:sdt>
  <w:p w14:paraId="2B9AA0DC" w14:textId="77777777" w:rsidR="00C447CC" w:rsidRDefault="00C447C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5404" w14:textId="77777777" w:rsidR="00C447CC" w:rsidRDefault="00C447CC" w:rsidP="00682991">
    <w:pPr>
      <w:pStyle w:val="Header"/>
      <w:jc w:val="both"/>
    </w:pPr>
    <w:r w:rsidRPr="00653AC6">
      <w:rPr>
        <w:rFonts w:cstheme="minorHAnsi"/>
        <w:noProof/>
        <w:sz w:val="24"/>
        <w:szCs w:val="24"/>
        <w:lang w:val="en-US"/>
      </w:rPr>
      <w:drawing>
        <wp:anchor distT="0" distB="0" distL="114300" distR="114300" simplePos="0" relativeHeight="251665408" behindDoc="1" locked="0" layoutInCell="1" allowOverlap="1" wp14:anchorId="5C6717E9" wp14:editId="7A0D30CA">
          <wp:simplePos x="0" y="0"/>
          <wp:positionH relativeFrom="page">
            <wp:posOffset>180975</wp:posOffset>
          </wp:positionH>
          <wp:positionV relativeFrom="margin">
            <wp:posOffset>-1019175</wp:posOffset>
          </wp:positionV>
          <wp:extent cx="7524750" cy="1209040"/>
          <wp:effectExtent l="0" t="0" r="0" b="0"/>
          <wp:wrapNone/>
          <wp:docPr id="230" name="Picture 230"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karkoti\Desktop\Letterhead for word Upp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98" t="16590" r="-2192" b="5305"/>
                  <a:stretch/>
                </pic:blipFill>
                <pic:spPr bwMode="auto">
                  <a:xfrm>
                    <a:off x="0" y="0"/>
                    <a:ext cx="7524750" cy="12090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val="en-US" w:eastAsia="el-GR"/>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356B1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158E1201"/>
    <w:multiLevelType w:val="hybridMultilevel"/>
    <w:tmpl w:val="4FA29406"/>
    <w:lvl w:ilvl="0" w:tplc="74CC4B6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F37A49"/>
    <w:multiLevelType w:val="hybridMultilevel"/>
    <w:tmpl w:val="31482528"/>
    <w:lvl w:ilvl="0" w:tplc="D8B67D9C">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19E52E1"/>
    <w:multiLevelType w:val="hybridMultilevel"/>
    <w:tmpl w:val="BCD48346"/>
    <w:lvl w:ilvl="0" w:tplc="7864F14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D77FD2"/>
    <w:multiLevelType w:val="hybridMultilevel"/>
    <w:tmpl w:val="DBBC58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A957979"/>
    <w:multiLevelType w:val="hybridMultilevel"/>
    <w:tmpl w:val="E23CD4A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33B2B57"/>
    <w:multiLevelType w:val="hybridMultilevel"/>
    <w:tmpl w:val="58926AFE"/>
    <w:lvl w:ilvl="0" w:tplc="270EC386">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10"/>
    <w:rsid w:val="0000265F"/>
    <w:rsid w:val="00003F23"/>
    <w:rsid w:val="0000470E"/>
    <w:rsid w:val="00004859"/>
    <w:rsid w:val="00006CCE"/>
    <w:rsid w:val="00007275"/>
    <w:rsid w:val="00011410"/>
    <w:rsid w:val="000153AB"/>
    <w:rsid w:val="000237EC"/>
    <w:rsid w:val="0002495F"/>
    <w:rsid w:val="00025211"/>
    <w:rsid w:val="000252D7"/>
    <w:rsid w:val="00027FBC"/>
    <w:rsid w:val="00031DF2"/>
    <w:rsid w:val="00033037"/>
    <w:rsid w:val="0003317A"/>
    <w:rsid w:val="000340EE"/>
    <w:rsid w:val="0003588D"/>
    <w:rsid w:val="00035D01"/>
    <w:rsid w:val="000403B7"/>
    <w:rsid w:val="00041003"/>
    <w:rsid w:val="00042A07"/>
    <w:rsid w:val="00042F40"/>
    <w:rsid w:val="00043C07"/>
    <w:rsid w:val="0004629A"/>
    <w:rsid w:val="00046C5A"/>
    <w:rsid w:val="00047FBB"/>
    <w:rsid w:val="00050363"/>
    <w:rsid w:val="00052552"/>
    <w:rsid w:val="00055B38"/>
    <w:rsid w:val="0006209F"/>
    <w:rsid w:val="0006306F"/>
    <w:rsid w:val="00063352"/>
    <w:rsid w:val="00064C28"/>
    <w:rsid w:val="0006608D"/>
    <w:rsid w:val="000667FF"/>
    <w:rsid w:val="00066EFC"/>
    <w:rsid w:val="00067D42"/>
    <w:rsid w:val="000701D1"/>
    <w:rsid w:val="00075C45"/>
    <w:rsid w:val="00076CD2"/>
    <w:rsid w:val="000811C2"/>
    <w:rsid w:val="00081EDE"/>
    <w:rsid w:val="00085DAC"/>
    <w:rsid w:val="0009209F"/>
    <w:rsid w:val="000955D8"/>
    <w:rsid w:val="000A28D0"/>
    <w:rsid w:val="000B0458"/>
    <w:rsid w:val="000B4B0D"/>
    <w:rsid w:val="000B4D41"/>
    <w:rsid w:val="000C0FE5"/>
    <w:rsid w:val="000C24BB"/>
    <w:rsid w:val="000C2EF8"/>
    <w:rsid w:val="000C41AA"/>
    <w:rsid w:val="000C63B3"/>
    <w:rsid w:val="000D1E9E"/>
    <w:rsid w:val="000D2260"/>
    <w:rsid w:val="000D322A"/>
    <w:rsid w:val="000D63A9"/>
    <w:rsid w:val="000E0B97"/>
    <w:rsid w:val="000E103D"/>
    <w:rsid w:val="000E6797"/>
    <w:rsid w:val="000E7170"/>
    <w:rsid w:val="000F10E2"/>
    <w:rsid w:val="000F24B6"/>
    <w:rsid w:val="000F31C9"/>
    <w:rsid w:val="000F3984"/>
    <w:rsid w:val="000F4DAA"/>
    <w:rsid w:val="000F5F61"/>
    <w:rsid w:val="000F7145"/>
    <w:rsid w:val="000F7850"/>
    <w:rsid w:val="00100B2D"/>
    <w:rsid w:val="001026F2"/>
    <w:rsid w:val="001054FD"/>
    <w:rsid w:val="00106EA3"/>
    <w:rsid w:val="00110A9B"/>
    <w:rsid w:val="001133D4"/>
    <w:rsid w:val="001151EE"/>
    <w:rsid w:val="001169D5"/>
    <w:rsid w:val="00120B49"/>
    <w:rsid w:val="001222CC"/>
    <w:rsid w:val="00123A65"/>
    <w:rsid w:val="001279BB"/>
    <w:rsid w:val="00131E54"/>
    <w:rsid w:val="00133FD0"/>
    <w:rsid w:val="001345EE"/>
    <w:rsid w:val="00137109"/>
    <w:rsid w:val="00141D90"/>
    <w:rsid w:val="00141DAA"/>
    <w:rsid w:val="0014763A"/>
    <w:rsid w:val="001549BB"/>
    <w:rsid w:val="0015501F"/>
    <w:rsid w:val="00162F8D"/>
    <w:rsid w:val="0016768C"/>
    <w:rsid w:val="001677C7"/>
    <w:rsid w:val="001730C9"/>
    <w:rsid w:val="001735DB"/>
    <w:rsid w:val="00175080"/>
    <w:rsid w:val="001807AB"/>
    <w:rsid w:val="001861EF"/>
    <w:rsid w:val="0018722B"/>
    <w:rsid w:val="00187460"/>
    <w:rsid w:val="0019534C"/>
    <w:rsid w:val="0019553D"/>
    <w:rsid w:val="0019691A"/>
    <w:rsid w:val="00197E2B"/>
    <w:rsid w:val="001A35D9"/>
    <w:rsid w:val="001A414F"/>
    <w:rsid w:val="001A5161"/>
    <w:rsid w:val="001A63CF"/>
    <w:rsid w:val="001A6F84"/>
    <w:rsid w:val="001A739C"/>
    <w:rsid w:val="001B178D"/>
    <w:rsid w:val="001B356A"/>
    <w:rsid w:val="001B6085"/>
    <w:rsid w:val="001C0331"/>
    <w:rsid w:val="001C0533"/>
    <w:rsid w:val="001C2CDB"/>
    <w:rsid w:val="001C33C3"/>
    <w:rsid w:val="001D0222"/>
    <w:rsid w:val="001D0E54"/>
    <w:rsid w:val="001D0F8C"/>
    <w:rsid w:val="001D2F02"/>
    <w:rsid w:val="001D387D"/>
    <w:rsid w:val="001D41E7"/>
    <w:rsid w:val="001D5BAB"/>
    <w:rsid w:val="001E4244"/>
    <w:rsid w:val="001E4D66"/>
    <w:rsid w:val="001E66EC"/>
    <w:rsid w:val="001F016C"/>
    <w:rsid w:val="001F51AA"/>
    <w:rsid w:val="00201926"/>
    <w:rsid w:val="00204E11"/>
    <w:rsid w:val="00207144"/>
    <w:rsid w:val="00207846"/>
    <w:rsid w:val="00207A46"/>
    <w:rsid w:val="0021293C"/>
    <w:rsid w:val="00216B6F"/>
    <w:rsid w:val="00217D9F"/>
    <w:rsid w:val="00222861"/>
    <w:rsid w:val="00223FA1"/>
    <w:rsid w:val="002261B8"/>
    <w:rsid w:val="00227E51"/>
    <w:rsid w:val="0023062C"/>
    <w:rsid w:val="002313CC"/>
    <w:rsid w:val="00231650"/>
    <w:rsid w:val="00231E36"/>
    <w:rsid w:val="00232E87"/>
    <w:rsid w:val="00234E65"/>
    <w:rsid w:val="00235EF8"/>
    <w:rsid w:val="00235F70"/>
    <w:rsid w:val="00236D82"/>
    <w:rsid w:val="00236DA8"/>
    <w:rsid w:val="00241E08"/>
    <w:rsid w:val="00242F2F"/>
    <w:rsid w:val="00244D14"/>
    <w:rsid w:val="00244E55"/>
    <w:rsid w:val="00245DD5"/>
    <w:rsid w:val="00255A23"/>
    <w:rsid w:val="00256D5B"/>
    <w:rsid w:val="00256DE5"/>
    <w:rsid w:val="00256F8F"/>
    <w:rsid w:val="002606CA"/>
    <w:rsid w:val="002674F3"/>
    <w:rsid w:val="002712A7"/>
    <w:rsid w:val="002713D1"/>
    <w:rsid w:val="00272F12"/>
    <w:rsid w:val="00274769"/>
    <w:rsid w:val="0027476C"/>
    <w:rsid w:val="00274897"/>
    <w:rsid w:val="00275445"/>
    <w:rsid w:val="0027631A"/>
    <w:rsid w:val="0028124E"/>
    <w:rsid w:val="002837FC"/>
    <w:rsid w:val="002854FD"/>
    <w:rsid w:val="00285732"/>
    <w:rsid w:val="002870DC"/>
    <w:rsid w:val="00290ED4"/>
    <w:rsid w:val="00291F10"/>
    <w:rsid w:val="002A4445"/>
    <w:rsid w:val="002A586A"/>
    <w:rsid w:val="002B4AD0"/>
    <w:rsid w:val="002B5897"/>
    <w:rsid w:val="002B61CA"/>
    <w:rsid w:val="002C004D"/>
    <w:rsid w:val="002C3584"/>
    <w:rsid w:val="002C5AF0"/>
    <w:rsid w:val="002C722C"/>
    <w:rsid w:val="002D14FF"/>
    <w:rsid w:val="002D5895"/>
    <w:rsid w:val="002D7DCA"/>
    <w:rsid w:val="002E223D"/>
    <w:rsid w:val="002E3C4B"/>
    <w:rsid w:val="002E6C14"/>
    <w:rsid w:val="002E7D1D"/>
    <w:rsid w:val="002F141E"/>
    <w:rsid w:val="002F18CE"/>
    <w:rsid w:val="002F57E4"/>
    <w:rsid w:val="002F6EA2"/>
    <w:rsid w:val="0030002F"/>
    <w:rsid w:val="00301418"/>
    <w:rsid w:val="00303309"/>
    <w:rsid w:val="003041FD"/>
    <w:rsid w:val="00304D1D"/>
    <w:rsid w:val="003059F2"/>
    <w:rsid w:val="00307F77"/>
    <w:rsid w:val="00311200"/>
    <w:rsid w:val="00311409"/>
    <w:rsid w:val="00311BC5"/>
    <w:rsid w:val="0031531D"/>
    <w:rsid w:val="00317FA9"/>
    <w:rsid w:val="00320ACC"/>
    <w:rsid w:val="003214CC"/>
    <w:rsid w:val="0032469B"/>
    <w:rsid w:val="00324BCA"/>
    <w:rsid w:val="003307A0"/>
    <w:rsid w:val="00332737"/>
    <w:rsid w:val="0033364F"/>
    <w:rsid w:val="0034233E"/>
    <w:rsid w:val="00345158"/>
    <w:rsid w:val="00346582"/>
    <w:rsid w:val="00346F7B"/>
    <w:rsid w:val="00354325"/>
    <w:rsid w:val="0035646B"/>
    <w:rsid w:val="0035788B"/>
    <w:rsid w:val="0036354E"/>
    <w:rsid w:val="00363654"/>
    <w:rsid w:val="00367B9A"/>
    <w:rsid w:val="003749DD"/>
    <w:rsid w:val="003775CE"/>
    <w:rsid w:val="00377F0B"/>
    <w:rsid w:val="00385162"/>
    <w:rsid w:val="003851A8"/>
    <w:rsid w:val="00386321"/>
    <w:rsid w:val="00387C22"/>
    <w:rsid w:val="003911EF"/>
    <w:rsid w:val="00391296"/>
    <w:rsid w:val="003959BF"/>
    <w:rsid w:val="003A18BD"/>
    <w:rsid w:val="003A1ABD"/>
    <w:rsid w:val="003A1C9E"/>
    <w:rsid w:val="003A2EEA"/>
    <w:rsid w:val="003A4077"/>
    <w:rsid w:val="003A4EFC"/>
    <w:rsid w:val="003B1121"/>
    <w:rsid w:val="003B462A"/>
    <w:rsid w:val="003B4FA1"/>
    <w:rsid w:val="003B6537"/>
    <w:rsid w:val="003B65BC"/>
    <w:rsid w:val="003B6F19"/>
    <w:rsid w:val="003B7A3D"/>
    <w:rsid w:val="003C13ED"/>
    <w:rsid w:val="003C2A34"/>
    <w:rsid w:val="003C2ED4"/>
    <w:rsid w:val="003C3B7C"/>
    <w:rsid w:val="003C5A6D"/>
    <w:rsid w:val="003C5CBC"/>
    <w:rsid w:val="003C5CFA"/>
    <w:rsid w:val="003C5D75"/>
    <w:rsid w:val="003D339A"/>
    <w:rsid w:val="003D3A93"/>
    <w:rsid w:val="003D4202"/>
    <w:rsid w:val="003D47E6"/>
    <w:rsid w:val="003D60C1"/>
    <w:rsid w:val="003E1B83"/>
    <w:rsid w:val="003E7771"/>
    <w:rsid w:val="003E7E81"/>
    <w:rsid w:val="003F0B9B"/>
    <w:rsid w:val="003F3B8A"/>
    <w:rsid w:val="003F4A9A"/>
    <w:rsid w:val="003F6F2E"/>
    <w:rsid w:val="00402D0A"/>
    <w:rsid w:val="00403768"/>
    <w:rsid w:val="00404A82"/>
    <w:rsid w:val="00406457"/>
    <w:rsid w:val="004070B8"/>
    <w:rsid w:val="00417F38"/>
    <w:rsid w:val="0042100A"/>
    <w:rsid w:val="0042182B"/>
    <w:rsid w:val="00421ECE"/>
    <w:rsid w:val="004243E9"/>
    <w:rsid w:val="004244E4"/>
    <w:rsid w:val="00433810"/>
    <w:rsid w:val="00434C1D"/>
    <w:rsid w:val="00436226"/>
    <w:rsid w:val="00436351"/>
    <w:rsid w:val="00436401"/>
    <w:rsid w:val="00436FB7"/>
    <w:rsid w:val="004408E9"/>
    <w:rsid w:val="00441C9A"/>
    <w:rsid w:val="00443461"/>
    <w:rsid w:val="00446843"/>
    <w:rsid w:val="00447233"/>
    <w:rsid w:val="004536AA"/>
    <w:rsid w:val="00456719"/>
    <w:rsid w:val="00460844"/>
    <w:rsid w:val="00462BC2"/>
    <w:rsid w:val="00462CA2"/>
    <w:rsid w:val="00463593"/>
    <w:rsid w:val="004717D8"/>
    <w:rsid w:val="0047637A"/>
    <w:rsid w:val="004769BE"/>
    <w:rsid w:val="00481023"/>
    <w:rsid w:val="0048147E"/>
    <w:rsid w:val="004851DD"/>
    <w:rsid w:val="00485DB6"/>
    <w:rsid w:val="004867D1"/>
    <w:rsid w:val="0048687B"/>
    <w:rsid w:val="00486EF1"/>
    <w:rsid w:val="00491868"/>
    <w:rsid w:val="00492126"/>
    <w:rsid w:val="0049360F"/>
    <w:rsid w:val="004953EC"/>
    <w:rsid w:val="00495D57"/>
    <w:rsid w:val="00497CDF"/>
    <w:rsid w:val="004A7296"/>
    <w:rsid w:val="004A797B"/>
    <w:rsid w:val="004B1B7C"/>
    <w:rsid w:val="004B24B4"/>
    <w:rsid w:val="004B510B"/>
    <w:rsid w:val="004B55D0"/>
    <w:rsid w:val="004B718F"/>
    <w:rsid w:val="004B7251"/>
    <w:rsid w:val="004C1B92"/>
    <w:rsid w:val="004C20FC"/>
    <w:rsid w:val="004C38EC"/>
    <w:rsid w:val="004C5D25"/>
    <w:rsid w:val="004C5EAD"/>
    <w:rsid w:val="004C62EC"/>
    <w:rsid w:val="004C7378"/>
    <w:rsid w:val="004C775A"/>
    <w:rsid w:val="004D0FB0"/>
    <w:rsid w:val="004D2E0C"/>
    <w:rsid w:val="004D4740"/>
    <w:rsid w:val="004D47A2"/>
    <w:rsid w:val="004D715F"/>
    <w:rsid w:val="004D7F47"/>
    <w:rsid w:val="004E0667"/>
    <w:rsid w:val="004E072B"/>
    <w:rsid w:val="004E6044"/>
    <w:rsid w:val="004E793B"/>
    <w:rsid w:val="004E7CB4"/>
    <w:rsid w:val="004F39C4"/>
    <w:rsid w:val="004F5059"/>
    <w:rsid w:val="004F576C"/>
    <w:rsid w:val="004F62CC"/>
    <w:rsid w:val="00502F26"/>
    <w:rsid w:val="00503C1A"/>
    <w:rsid w:val="00504BAC"/>
    <w:rsid w:val="00505956"/>
    <w:rsid w:val="00505B1B"/>
    <w:rsid w:val="00510650"/>
    <w:rsid w:val="00511F26"/>
    <w:rsid w:val="00513053"/>
    <w:rsid w:val="005174DD"/>
    <w:rsid w:val="0052163D"/>
    <w:rsid w:val="00521AA4"/>
    <w:rsid w:val="00524F27"/>
    <w:rsid w:val="00527BE6"/>
    <w:rsid w:val="00531016"/>
    <w:rsid w:val="005358B5"/>
    <w:rsid w:val="005446CD"/>
    <w:rsid w:val="005448B6"/>
    <w:rsid w:val="005451F6"/>
    <w:rsid w:val="005468DB"/>
    <w:rsid w:val="00546B6D"/>
    <w:rsid w:val="00546D25"/>
    <w:rsid w:val="005477F4"/>
    <w:rsid w:val="00552394"/>
    <w:rsid w:val="00554FD5"/>
    <w:rsid w:val="00555E23"/>
    <w:rsid w:val="00557D4E"/>
    <w:rsid w:val="00560317"/>
    <w:rsid w:val="00560A7F"/>
    <w:rsid w:val="005631DE"/>
    <w:rsid w:val="005635C1"/>
    <w:rsid w:val="00565027"/>
    <w:rsid w:val="00565E06"/>
    <w:rsid w:val="00566CBD"/>
    <w:rsid w:val="00567729"/>
    <w:rsid w:val="00572002"/>
    <w:rsid w:val="00572947"/>
    <w:rsid w:val="005735E7"/>
    <w:rsid w:val="005747D0"/>
    <w:rsid w:val="005748F5"/>
    <w:rsid w:val="00576806"/>
    <w:rsid w:val="00577009"/>
    <w:rsid w:val="00580425"/>
    <w:rsid w:val="00581A93"/>
    <w:rsid w:val="005833B8"/>
    <w:rsid w:val="00584A63"/>
    <w:rsid w:val="00584B17"/>
    <w:rsid w:val="00590C91"/>
    <w:rsid w:val="005924A0"/>
    <w:rsid w:val="0059271E"/>
    <w:rsid w:val="0059421F"/>
    <w:rsid w:val="00596123"/>
    <w:rsid w:val="005A02CB"/>
    <w:rsid w:val="005B24C8"/>
    <w:rsid w:val="005B27BF"/>
    <w:rsid w:val="005B2C27"/>
    <w:rsid w:val="005B63E4"/>
    <w:rsid w:val="005B7F23"/>
    <w:rsid w:val="005C081E"/>
    <w:rsid w:val="005C2CF5"/>
    <w:rsid w:val="005C3B40"/>
    <w:rsid w:val="005C767F"/>
    <w:rsid w:val="005D2C95"/>
    <w:rsid w:val="005D6DEB"/>
    <w:rsid w:val="005E16C3"/>
    <w:rsid w:val="005E4984"/>
    <w:rsid w:val="005E6B36"/>
    <w:rsid w:val="005E7131"/>
    <w:rsid w:val="005F0915"/>
    <w:rsid w:val="005F16D0"/>
    <w:rsid w:val="005F4C55"/>
    <w:rsid w:val="005F6663"/>
    <w:rsid w:val="006035AE"/>
    <w:rsid w:val="00607897"/>
    <w:rsid w:val="00610636"/>
    <w:rsid w:val="00610948"/>
    <w:rsid w:val="006161C8"/>
    <w:rsid w:val="00616535"/>
    <w:rsid w:val="00621075"/>
    <w:rsid w:val="0062347C"/>
    <w:rsid w:val="00623F39"/>
    <w:rsid w:val="00630299"/>
    <w:rsid w:val="00634D62"/>
    <w:rsid w:val="006361AB"/>
    <w:rsid w:val="00637682"/>
    <w:rsid w:val="00637D88"/>
    <w:rsid w:val="00640E8D"/>
    <w:rsid w:val="0064187F"/>
    <w:rsid w:val="006419FF"/>
    <w:rsid w:val="00642338"/>
    <w:rsid w:val="0064584B"/>
    <w:rsid w:val="00645C46"/>
    <w:rsid w:val="00646022"/>
    <w:rsid w:val="00646A3B"/>
    <w:rsid w:val="006470EB"/>
    <w:rsid w:val="006506B9"/>
    <w:rsid w:val="00652270"/>
    <w:rsid w:val="0065268C"/>
    <w:rsid w:val="00652B1A"/>
    <w:rsid w:val="00653AC6"/>
    <w:rsid w:val="0065657F"/>
    <w:rsid w:val="006568C0"/>
    <w:rsid w:val="00660228"/>
    <w:rsid w:val="00660894"/>
    <w:rsid w:val="006613F2"/>
    <w:rsid w:val="00662129"/>
    <w:rsid w:val="00667B27"/>
    <w:rsid w:val="0067216D"/>
    <w:rsid w:val="00672B7D"/>
    <w:rsid w:val="006745AE"/>
    <w:rsid w:val="00675E3B"/>
    <w:rsid w:val="00680780"/>
    <w:rsid w:val="006812D3"/>
    <w:rsid w:val="00682991"/>
    <w:rsid w:val="006863AE"/>
    <w:rsid w:val="00690B14"/>
    <w:rsid w:val="006942D3"/>
    <w:rsid w:val="006951B4"/>
    <w:rsid w:val="006A2540"/>
    <w:rsid w:val="006A3027"/>
    <w:rsid w:val="006A70EE"/>
    <w:rsid w:val="006A7923"/>
    <w:rsid w:val="006B0F7F"/>
    <w:rsid w:val="006B28DA"/>
    <w:rsid w:val="006B3004"/>
    <w:rsid w:val="006B46F0"/>
    <w:rsid w:val="006C05D8"/>
    <w:rsid w:val="006C62BA"/>
    <w:rsid w:val="006C69A8"/>
    <w:rsid w:val="006C7ABA"/>
    <w:rsid w:val="006D2447"/>
    <w:rsid w:val="006D4ECC"/>
    <w:rsid w:val="006D702C"/>
    <w:rsid w:val="006D74A3"/>
    <w:rsid w:val="006E0F4A"/>
    <w:rsid w:val="006E1D10"/>
    <w:rsid w:val="006E20A0"/>
    <w:rsid w:val="006E2FF4"/>
    <w:rsid w:val="006E4957"/>
    <w:rsid w:val="006E5963"/>
    <w:rsid w:val="006F2BCD"/>
    <w:rsid w:val="006F4DE9"/>
    <w:rsid w:val="006F4E23"/>
    <w:rsid w:val="006F514C"/>
    <w:rsid w:val="00700A9E"/>
    <w:rsid w:val="007034BB"/>
    <w:rsid w:val="00704261"/>
    <w:rsid w:val="00716C6F"/>
    <w:rsid w:val="00716CD4"/>
    <w:rsid w:val="00723451"/>
    <w:rsid w:val="00724059"/>
    <w:rsid w:val="00724CD9"/>
    <w:rsid w:val="007258BF"/>
    <w:rsid w:val="00737A1C"/>
    <w:rsid w:val="00740BFC"/>
    <w:rsid w:val="00744AE3"/>
    <w:rsid w:val="00744F3E"/>
    <w:rsid w:val="00745422"/>
    <w:rsid w:val="00745F72"/>
    <w:rsid w:val="007460F3"/>
    <w:rsid w:val="007475D7"/>
    <w:rsid w:val="0075317E"/>
    <w:rsid w:val="00754F64"/>
    <w:rsid w:val="00756586"/>
    <w:rsid w:val="00757BD6"/>
    <w:rsid w:val="00762990"/>
    <w:rsid w:val="00766696"/>
    <w:rsid w:val="00767A3E"/>
    <w:rsid w:val="00767A99"/>
    <w:rsid w:val="00772367"/>
    <w:rsid w:val="00772CED"/>
    <w:rsid w:val="00773577"/>
    <w:rsid w:val="00773F10"/>
    <w:rsid w:val="00774532"/>
    <w:rsid w:val="0077570C"/>
    <w:rsid w:val="00776590"/>
    <w:rsid w:val="00780290"/>
    <w:rsid w:val="0078580D"/>
    <w:rsid w:val="00785D86"/>
    <w:rsid w:val="007872F1"/>
    <w:rsid w:val="0079355D"/>
    <w:rsid w:val="0079384E"/>
    <w:rsid w:val="00794F0D"/>
    <w:rsid w:val="00796BDE"/>
    <w:rsid w:val="00797353"/>
    <w:rsid w:val="007A5629"/>
    <w:rsid w:val="007B23C5"/>
    <w:rsid w:val="007B6F33"/>
    <w:rsid w:val="007C16F6"/>
    <w:rsid w:val="007C19C7"/>
    <w:rsid w:val="007C52BC"/>
    <w:rsid w:val="007C5DF2"/>
    <w:rsid w:val="007D0E17"/>
    <w:rsid w:val="007D22B2"/>
    <w:rsid w:val="007D25CA"/>
    <w:rsid w:val="007D38B8"/>
    <w:rsid w:val="007D4B68"/>
    <w:rsid w:val="007D5E32"/>
    <w:rsid w:val="007D7BD4"/>
    <w:rsid w:val="007E6156"/>
    <w:rsid w:val="007E683C"/>
    <w:rsid w:val="007E7E72"/>
    <w:rsid w:val="007E7FCA"/>
    <w:rsid w:val="007F2BA3"/>
    <w:rsid w:val="007F46E9"/>
    <w:rsid w:val="007F4D08"/>
    <w:rsid w:val="007F4DAB"/>
    <w:rsid w:val="007F639C"/>
    <w:rsid w:val="007F77DE"/>
    <w:rsid w:val="007F7927"/>
    <w:rsid w:val="00801603"/>
    <w:rsid w:val="008027C1"/>
    <w:rsid w:val="008044E4"/>
    <w:rsid w:val="00811188"/>
    <w:rsid w:val="00812432"/>
    <w:rsid w:val="00814495"/>
    <w:rsid w:val="00816322"/>
    <w:rsid w:val="00817AD6"/>
    <w:rsid w:val="00823972"/>
    <w:rsid w:val="00825BAC"/>
    <w:rsid w:val="00826F3A"/>
    <w:rsid w:val="00827E94"/>
    <w:rsid w:val="0083106F"/>
    <w:rsid w:val="00833490"/>
    <w:rsid w:val="00834475"/>
    <w:rsid w:val="008358C1"/>
    <w:rsid w:val="008358FA"/>
    <w:rsid w:val="00837BCE"/>
    <w:rsid w:val="00842C02"/>
    <w:rsid w:val="00843A68"/>
    <w:rsid w:val="00846006"/>
    <w:rsid w:val="008627C7"/>
    <w:rsid w:val="00863052"/>
    <w:rsid w:val="0086493F"/>
    <w:rsid w:val="008649BF"/>
    <w:rsid w:val="00864AB5"/>
    <w:rsid w:val="00866C76"/>
    <w:rsid w:val="00867412"/>
    <w:rsid w:val="00871907"/>
    <w:rsid w:val="00872182"/>
    <w:rsid w:val="0087361C"/>
    <w:rsid w:val="0087517F"/>
    <w:rsid w:val="008759D6"/>
    <w:rsid w:val="0087729D"/>
    <w:rsid w:val="00880FC5"/>
    <w:rsid w:val="00883613"/>
    <w:rsid w:val="00883A4C"/>
    <w:rsid w:val="00885166"/>
    <w:rsid w:val="00885F78"/>
    <w:rsid w:val="00886325"/>
    <w:rsid w:val="00887567"/>
    <w:rsid w:val="0089615B"/>
    <w:rsid w:val="008A0D1D"/>
    <w:rsid w:val="008A2BAA"/>
    <w:rsid w:val="008A2D8F"/>
    <w:rsid w:val="008A40D0"/>
    <w:rsid w:val="008A432B"/>
    <w:rsid w:val="008B11CC"/>
    <w:rsid w:val="008B4E1F"/>
    <w:rsid w:val="008B606F"/>
    <w:rsid w:val="008C3E93"/>
    <w:rsid w:val="008C5B84"/>
    <w:rsid w:val="008C6404"/>
    <w:rsid w:val="008C7C28"/>
    <w:rsid w:val="008D2B37"/>
    <w:rsid w:val="008D7C69"/>
    <w:rsid w:val="008E1A6A"/>
    <w:rsid w:val="008E1F94"/>
    <w:rsid w:val="008E4F8D"/>
    <w:rsid w:val="008E57BA"/>
    <w:rsid w:val="008E7AEC"/>
    <w:rsid w:val="008E7F4C"/>
    <w:rsid w:val="008F144A"/>
    <w:rsid w:val="008F2E6B"/>
    <w:rsid w:val="008F38E9"/>
    <w:rsid w:val="008F3A7F"/>
    <w:rsid w:val="008F637F"/>
    <w:rsid w:val="008F71BC"/>
    <w:rsid w:val="008F7C64"/>
    <w:rsid w:val="009026E8"/>
    <w:rsid w:val="00907406"/>
    <w:rsid w:val="0091053C"/>
    <w:rsid w:val="00911A81"/>
    <w:rsid w:val="00911D69"/>
    <w:rsid w:val="00912AF2"/>
    <w:rsid w:val="00915A62"/>
    <w:rsid w:val="009175B0"/>
    <w:rsid w:val="00920ADA"/>
    <w:rsid w:val="00925BCA"/>
    <w:rsid w:val="00925C94"/>
    <w:rsid w:val="009269F7"/>
    <w:rsid w:val="009321DB"/>
    <w:rsid w:val="0094111A"/>
    <w:rsid w:val="00943371"/>
    <w:rsid w:val="0094481E"/>
    <w:rsid w:val="00944D3D"/>
    <w:rsid w:val="00947048"/>
    <w:rsid w:val="0095111F"/>
    <w:rsid w:val="00952129"/>
    <w:rsid w:val="0095282F"/>
    <w:rsid w:val="00954A58"/>
    <w:rsid w:val="00954DEE"/>
    <w:rsid w:val="009565C5"/>
    <w:rsid w:val="009600E3"/>
    <w:rsid w:val="00960C5E"/>
    <w:rsid w:val="0096136C"/>
    <w:rsid w:val="0096269E"/>
    <w:rsid w:val="00965E6D"/>
    <w:rsid w:val="0096655F"/>
    <w:rsid w:val="00966ED6"/>
    <w:rsid w:val="009674A2"/>
    <w:rsid w:val="00970493"/>
    <w:rsid w:val="0097129C"/>
    <w:rsid w:val="00972AD9"/>
    <w:rsid w:val="00972DE6"/>
    <w:rsid w:val="0097391B"/>
    <w:rsid w:val="00980432"/>
    <w:rsid w:val="00984144"/>
    <w:rsid w:val="00985C2C"/>
    <w:rsid w:val="00986899"/>
    <w:rsid w:val="00992788"/>
    <w:rsid w:val="00992A39"/>
    <w:rsid w:val="00994570"/>
    <w:rsid w:val="0099517F"/>
    <w:rsid w:val="00996A4E"/>
    <w:rsid w:val="0099716D"/>
    <w:rsid w:val="009A0844"/>
    <w:rsid w:val="009A31AF"/>
    <w:rsid w:val="009A5DA5"/>
    <w:rsid w:val="009A775D"/>
    <w:rsid w:val="009B6D5C"/>
    <w:rsid w:val="009C1131"/>
    <w:rsid w:val="009C2EEB"/>
    <w:rsid w:val="009C490D"/>
    <w:rsid w:val="009C65C5"/>
    <w:rsid w:val="009C68B7"/>
    <w:rsid w:val="009C6DE7"/>
    <w:rsid w:val="009D7489"/>
    <w:rsid w:val="009E03E3"/>
    <w:rsid w:val="009E0871"/>
    <w:rsid w:val="009E1DDB"/>
    <w:rsid w:val="009E1FDE"/>
    <w:rsid w:val="009E6C0A"/>
    <w:rsid w:val="009E7923"/>
    <w:rsid w:val="009E7CAE"/>
    <w:rsid w:val="009F5CDA"/>
    <w:rsid w:val="009F6EE0"/>
    <w:rsid w:val="00A029D4"/>
    <w:rsid w:val="00A03FEB"/>
    <w:rsid w:val="00A04BD4"/>
    <w:rsid w:val="00A0584F"/>
    <w:rsid w:val="00A06B89"/>
    <w:rsid w:val="00A07BCC"/>
    <w:rsid w:val="00A10D20"/>
    <w:rsid w:val="00A136C4"/>
    <w:rsid w:val="00A15CD1"/>
    <w:rsid w:val="00A167C0"/>
    <w:rsid w:val="00A2105C"/>
    <w:rsid w:val="00A21612"/>
    <w:rsid w:val="00A229A1"/>
    <w:rsid w:val="00A22C9B"/>
    <w:rsid w:val="00A24FAA"/>
    <w:rsid w:val="00A26066"/>
    <w:rsid w:val="00A27AD1"/>
    <w:rsid w:val="00A27D7E"/>
    <w:rsid w:val="00A312E1"/>
    <w:rsid w:val="00A32996"/>
    <w:rsid w:val="00A40247"/>
    <w:rsid w:val="00A41908"/>
    <w:rsid w:val="00A438B0"/>
    <w:rsid w:val="00A44096"/>
    <w:rsid w:val="00A463EC"/>
    <w:rsid w:val="00A46D57"/>
    <w:rsid w:val="00A530D6"/>
    <w:rsid w:val="00A548E1"/>
    <w:rsid w:val="00A55890"/>
    <w:rsid w:val="00A63005"/>
    <w:rsid w:val="00A63ADC"/>
    <w:rsid w:val="00A63BFF"/>
    <w:rsid w:val="00A64B58"/>
    <w:rsid w:val="00A65BAF"/>
    <w:rsid w:val="00A67960"/>
    <w:rsid w:val="00A703A0"/>
    <w:rsid w:val="00A70931"/>
    <w:rsid w:val="00A73305"/>
    <w:rsid w:val="00A73EF8"/>
    <w:rsid w:val="00A744DB"/>
    <w:rsid w:val="00A80505"/>
    <w:rsid w:val="00A81E8F"/>
    <w:rsid w:val="00A8378C"/>
    <w:rsid w:val="00A839E6"/>
    <w:rsid w:val="00A84BC9"/>
    <w:rsid w:val="00A8562D"/>
    <w:rsid w:val="00A87385"/>
    <w:rsid w:val="00A9075E"/>
    <w:rsid w:val="00A92CC3"/>
    <w:rsid w:val="00A94C37"/>
    <w:rsid w:val="00AA31AA"/>
    <w:rsid w:val="00AA5132"/>
    <w:rsid w:val="00AA54D9"/>
    <w:rsid w:val="00AA7ECA"/>
    <w:rsid w:val="00AB0904"/>
    <w:rsid w:val="00AB29D7"/>
    <w:rsid w:val="00AB32FB"/>
    <w:rsid w:val="00AB665D"/>
    <w:rsid w:val="00AB694D"/>
    <w:rsid w:val="00AC42D4"/>
    <w:rsid w:val="00AC5CBE"/>
    <w:rsid w:val="00AD43D9"/>
    <w:rsid w:val="00AD52AB"/>
    <w:rsid w:val="00AD5D43"/>
    <w:rsid w:val="00AD6A62"/>
    <w:rsid w:val="00AD7C31"/>
    <w:rsid w:val="00AE0584"/>
    <w:rsid w:val="00AE0D9C"/>
    <w:rsid w:val="00AE188A"/>
    <w:rsid w:val="00AE19CF"/>
    <w:rsid w:val="00AE3ACC"/>
    <w:rsid w:val="00AE57AF"/>
    <w:rsid w:val="00AE67C3"/>
    <w:rsid w:val="00AF4772"/>
    <w:rsid w:val="00AF5272"/>
    <w:rsid w:val="00B00BB6"/>
    <w:rsid w:val="00B02CDF"/>
    <w:rsid w:val="00B02DD8"/>
    <w:rsid w:val="00B04142"/>
    <w:rsid w:val="00B05542"/>
    <w:rsid w:val="00B06E35"/>
    <w:rsid w:val="00B12EB5"/>
    <w:rsid w:val="00B137AC"/>
    <w:rsid w:val="00B13AB2"/>
    <w:rsid w:val="00B168F6"/>
    <w:rsid w:val="00B211D7"/>
    <w:rsid w:val="00B23ECA"/>
    <w:rsid w:val="00B2415F"/>
    <w:rsid w:val="00B250B3"/>
    <w:rsid w:val="00B26EB9"/>
    <w:rsid w:val="00B31C1C"/>
    <w:rsid w:val="00B32CF1"/>
    <w:rsid w:val="00B333BD"/>
    <w:rsid w:val="00B36123"/>
    <w:rsid w:val="00B404F8"/>
    <w:rsid w:val="00B4362A"/>
    <w:rsid w:val="00B45D75"/>
    <w:rsid w:val="00B462BC"/>
    <w:rsid w:val="00B50EB7"/>
    <w:rsid w:val="00B51A29"/>
    <w:rsid w:val="00B53CBB"/>
    <w:rsid w:val="00B557C2"/>
    <w:rsid w:val="00B60B3F"/>
    <w:rsid w:val="00B61F24"/>
    <w:rsid w:val="00B6507C"/>
    <w:rsid w:val="00B65460"/>
    <w:rsid w:val="00B674A4"/>
    <w:rsid w:val="00B71096"/>
    <w:rsid w:val="00B72062"/>
    <w:rsid w:val="00B72693"/>
    <w:rsid w:val="00B72809"/>
    <w:rsid w:val="00B734B2"/>
    <w:rsid w:val="00B77015"/>
    <w:rsid w:val="00B806AC"/>
    <w:rsid w:val="00B8291E"/>
    <w:rsid w:val="00B82EEF"/>
    <w:rsid w:val="00B82F4C"/>
    <w:rsid w:val="00B82F7D"/>
    <w:rsid w:val="00B85378"/>
    <w:rsid w:val="00B86B54"/>
    <w:rsid w:val="00B94D70"/>
    <w:rsid w:val="00B95AF7"/>
    <w:rsid w:val="00B96DA6"/>
    <w:rsid w:val="00B9775D"/>
    <w:rsid w:val="00BA10BA"/>
    <w:rsid w:val="00BA1C30"/>
    <w:rsid w:val="00BB0B70"/>
    <w:rsid w:val="00BB3E47"/>
    <w:rsid w:val="00BB4215"/>
    <w:rsid w:val="00BB583F"/>
    <w:rsid w:val="00BC3143"/>
    <w:rsid w:val="00BC479F"/>
    <w:rsid w:val="00BC6D40"/>
    <w:rsid w:val="00BD0A34"/>
    <w:rsid w:val="00BD274B"/>
    <w:rsid w:val="00BD47F4"/>
    <w:rsid w:val="00BD4B45"/>
    <w:rsid w:val="00BE1C62"/>
    <w:rsid w:val="00BE2129"/>
    <w:rsid w:val="00BE2678"/>
    <w:rsid w:val="00BE2A29"/>
    <w:rsid w:val="00BE3515"/>
    <w:rsid w:val="00BE4D36"/>
    <w:rsid w:val="00BE6690"/>
    <w:rsid w:val="00BE68E2"/>
    <w:rsid w:val="00BE7020"/>
    <w:rsid w:val="00BF39C4"/>
    <w:rsid w:val="00BF4152"/>
    <w:rsid w:val="00BF60FA"/>
    <w:rsid w:val="00BF69EE"/>
    <w:rsid w:val="00BF6BB8"/>
    <w:rsid w:val="00BF7AED"/>
    <w:rsid w:val="00C012ED"/>
    <w:rsid w:val="00C0132F"/>
    <w:rsid w:val="00C0288E"/>
    <w:rsid w:val="00C02EC9"/>
    <w:rsid w:val="00C0336F"/>
    <w:rsid w:val="00C03DA9"/>
    <w:rsid w:val="00C04376"/>
    <w:rsid w:val="00C047B9"/>
    <w:rsid w:val="00C07C5D"/>
    <w:rsid w:val="00C10C20"/>
    <w:rsid w:val="00C111E0"/>
    <w:rsid w:val="00C122A7"/>
    <w:rsid w:val="00C13CF4"/>
    <w:rsid w:val="00C1621E"/>
    <w:rsid w:val="00C168E3"/>
    <w:rsid w:val="00C20A95"/>
    <w:rsid w:val="00C22A7F"/>
    <w:rsid w:val="00C235F3"/>
    <w:rsid w:val="00C26F9D"/>
    <w:rsid w:val="00C27DB2"/>
    <w:rsid w:val="00C33470"/>
    <w:rsid w:val="00C36C64"/>
    <w:rsid w:val="00C36D2C"/>
    <w:rsid w:val="00C37860"/>
    <w:rsid w:val="00C3786D"/>
    <w:rsid w:val="00C4454B"/>
    <w:rsid w:val="00C447CC"/>
    <w:rsid w:val="00C51A88"/>
    <w:rsid w:val="00C53C59"/>
    <w:rsid w:val="00C56399"/>
    <w:rsid w:val="00C60E7C"/>
    <w:rsid w:val="00C61246"/>
    <w:rsid w:val="00C61C25"/>
    <w:rsid w:val="00C674A1"/>
    <w:rsid w:val="00C80270"/>
    <w:rsid w:val="00C80E04"/>
    <w:rsid w:val="00C86E39"/>
    <w:rsid w:val="00C9055E"/>
    <w:rsid w:val="00C90A0D"/>
    <w:rsid w:val="00C90E52"/>
    <w:rsid w:val="00C92F72"/>
    <w:rsid w:val="00C93ACB"/>
    <w:rsid w:val="00C952D2"/>
    <w:rsid w:val="00C9693D"/>
    <w:rsid w:val="00C96A10"/>
    <w:rsid w:val="00CA074F"/>
    <w:rsid w:val="00CA1B14"/>
    <w:rsid w:val="00CA35C3"/>
    <w:rsid w:val="00CA48FE"/>
    <w:rsid w:val="00CA503B"/>
    <w:rsid w:val="00CB0137"/>
    <w:rsid w:val="00CB0305"/>
    <w:rsid w:val="00CB3875"/>
    <w:rsid w:val="00CB47CC"/>
    <w:rsid w:val="00CB53F1"/>
    <w:rsid w:val="00CC0859"/>
    <w:rsid w:val="00CC1A8B"/>
    <w:rsid w:val="00CC24FF"/>
    <w:rsid w:val="00CC32E8"/>
    <w:rsid w:val="00CC492F"/>
    <w:rsid w:val="00CC7D6F"/>
    <w:rsid w:val="00CD01C7"/>
    <w:rsid w:val="00CD05D5"/>
    <w:rsid w:val="00CD0B0B"/>
    <w:rsid w:val="00CD6A4B"/>
    <w:rsid w:val="00CD7A70"/>
    <w:rsid w:val="00CE22AE"/>
    <w:rsid w:val="00CE48A7"/>
    <w:rsid w:val="00CE4B3C"/>
    <w:rsid w:val="00CF0A58"/>
    <w:rsid w:val="00CF4474"/>
    <w:rsid w:val="00D00324"/>
    <w:rsid w:val="00D0139B"/>
    <w:rsid w:val="00D016C8"/>
    <w:rsid w:val="00D02189"/>
    <w:rsid w:val="00D03530"/>
    <w:rsid w:val="00D03535"/>
    <w:rsid w:val="00D040D9"/>
    <w:rsid w:val="00D04E63"/>
    <w:rsid w:val="00D0714D"/>
    <w:rsid w:val="00D12457"/>
    <w:rsid w:val="00D12571"/>
    <w:rsid w:val="00D14A91"/>
    <w:rsid w:val="00D152C1"/>
    <w:rsid w:val="00D159B3"/>
    <w:rsid w:val="00D16743"/>
    <w:rsid w:val="00D17EDE"/>
    <w:rsid w:val="00D214B3"/>
    <w:rsid w:val="00D2367D"/>
    <w:rsid w:val="00D25266"/>
    <w:rsid w:val="00D26DCD"/>
    <w:rsid w:val="00D30793"/>
    <w:rsid w:val="00D3288D"/>
    <w:rsid w:val="00D359BD"/>
    <w:rsid w:val="00D378B1"/>
    <w:rsid w:val="00D37C78"/>
    <w:rsid w:val="00D41A60"/>
    <w:rsid w:val="00D41C11"/>
    <w:rsid w:val="00D4498A"/>
    <w:rsid w:val="00D465AF"/>
    <w:rsid w:val="00D508DC"/>
    <w:rsid w:val="00D545E8"/>
    <w:rsid w:val="00D54D56"/>
    <w:rsid w:val="00D55095"/>
    <w:rsid w:val="00D56DA8"/>
    <w:rsid w:val="00D60246"/>
    <w:rsid w:val="00D61B0F"/>
    <w:rsid w:val="00D62EA1"/>
    <w:rsid w:val="00D66C5E"/>
    <w:rsid w:val="00D67C9D"/>
    <w:rsid w:val="00D70323"/>
    <w:rsid w:val="00D71267"/>
    <w:rsid w:val="00D723EB"/>
    <w:rsid w:val="00D73095"/>
    <w:rsid w:val="00D730C9"/>
    <w:rsid w:val="00D73695"/>
    <w:rsid w:val="00D73CC2"/>
    <w:rsid w:val="00D7425E"/>
    <w:rsid w:val="00D80513"/>
    <w:rsid w:val="00D84A18"/>
    <w:rsid w:val="00D84B01"/>
    <w:rsid w:val="00D84F2F"/>
    <w:rsid w:val="00D8598E"/>
    <w:rsid w:val="00D865AF"/>
    <w:rsid w:val="00D8701B"/>
    <w:rsid w:val="00D90E2A"/>
    <w:rsid w:val="00D92656"/>
    <w:rsid w:val="00D92C2F"/>
    <w:rsid w:val="00D9332D"/>
    <w:rsid w:val="00D9395D"/>
    <w:rsid w:val="00D957D9"/>
    <w:rsid w:val="00D961A4"/>
    <w:rsid w:val="00D96CB9"/>
    <w:rsid w:val="00DA002E"/>
    <w:rsid w:val="00DA0A67"/>
    <w:rsid w:val="00DA1A31"/>
    <w:rsid w:val="00DA3CD0"/>
    <w:rsid w:val="00DA5FC1"/>
    <w:rsid w:val="00DA729C"/>
    <w:rsid w:val="00DB20BB"/>
    <w:rsid w:val="00DB4091"/>
    <w:rsid w:val="00DB4E62"/>
    <w:rsid w:val="00DB5B85"/>
    <w:rsid w:val="00DC5DBE"/>
    <w:rsid w:val="00DD3BCE"/>
    <w:rsid w:val="00DE040C"/>
    <w:rsid w:val="00DE09B6"/>
    <w:rsid w:val="00DE3592"/>
    <w:rsid w:val="00DE4F12"/>
    <w:rsid w:val="00DE570F"/>
    <w:rsid w:val="00DE731B"/>
    <w:rsid w:val="00DE738D"/>
    <w:rsid w:val="00DE7BB8"/>
    <w:rsid w:val="00DF0114"/>
    <w:rsid w:val="00DF4186"/>
    <w:rsid w:val="00DF46B0"/>
    <w:rsid w:val="00DF66AF"/>
    <w:rsid w:val="00E07F7D"/>
    <w:rsid w:val="00E1145E"/>
    <w:rsid w:val="00E1255E"/>
    <w:rsid w:val="00E12A48"/>
    <w:rsid w:val="00E178F1"/>
    <w:rsid w:val="00E20A18"/>
    <w:rsid w:val="00E24CFD"/>
    <w:rsid w:val="00E25FF9"/>
    <w:rsid w:val="00E27893"/>
    <w:rsid w:val="00E32AA3"/>
    <w:rsid w:val="00E33D43"/>
    <w:rsid w:val="00E353DA"/>
    <w:rsid w:val="00E3565A"/>
    <w:rsid w:val="00E37914"/>
    <w:rsid w:val="00E379E6"/>
    <w:rsid w:val="00E4202B"/>
    <w:rsid w:val="00E42C28"/>
    <w:rsid w:val="00E45991"/>
    <w:rsid w:val="00E543E4"/>
    <w:rsid w:val="00E5444F"/>
    <w:rsid w:val="00E54D09"/>
    <w:rsid w:val="00E56D24"/>
    <w:rsid w:val="00E60084"/>
    <w:rsid w:val="00E60871"/>
    <w:rsid w:val="00E61417"/>
    <w:rsid w:val="00E61486"/>
    <w:rsid w:val="00E62FA8"/>
    <w:rsid w:val="00E74B62"/>
    <w:rsid w:val="00E75E94"/>
    <w:rsid w:val="00E829DB"/>
    <w:rsid w:val="00E82C35"/>
    <w:rsid w:val="00E83E95"/>
    <w:rsid w:val="00E87CFA"/>
    <w:rsid w:val="00E92C46"/>
    <w:rsid w:val="00E947F3"/>
    <w:rsid w:val="00E96710"/>
    <w:rsid w:val="00EA0D94"/>
    <w:rsid w:val="00EA1B61"/>
    <w:rsid w:val="00EA477C"/>
    <w:rsid w:val="00EA50C7"/>
    <w:rsid w:val="00EB0D8D"/>
    <w:rsid w:val="00EB69F2"/>
    <w:rsid w:val="00EC1C18"/>
    <w:rsid w:val="00EC3A9E"/>
    <w:rsid w:val="00EC576A"/>
    <w:rsid w:val="00EC66AD"/>
    <w:rsid w:val="00EC7658"/>
    <w:rsid w:val="00EC7DD4"/>
    <w:rsid w:val="00ED0028"/>
    <w:rsid w:val="00ED22EC"/>
    <w:rsid w:val="00ED3115"/>
    <w:rsid w:val="00ED33AA"/>
    <w:rsid w:val="00ED4287"/>
    <w:rsid w:val="00ED53FE"/>
    <w:rsid w:val="00ED77EB"/>
    <w:rsid w:val="00EE1843"/>
    <w:rsid w:val="00EE1979"/>
    <w:rsid w:val="00EE2528"/>
    <w:rsid w:val="00EE3E78"/>
    <w:rsid w:val="00EE5A40"/>
    <w:rsid w:val="00EE6141"/>
    <w:rsid w:val="00EF06C9"/>
    <w:rsid w:val="00EF0ADD"/>
    <w:rsid w:val="00EF3B2E"/>
    <w:rsid w:val="00F00B53"/>
    <w:rsid w:val="00F026F4"/>
    <w:rsid w:val="00F02C2D"/>
    <w:rsid w:val="00F0311B"/>
    <w:rsid w:val="00F03C35"/>
    <w:rsid w:val="00F0504C"/>
    <w:rsid w:val="00F06833"/>
    <w:rsid w:val="00F078B4"/>
    <w:rsid w:val="00F1507D"/>
    <w:rsid w:val="00F150F6"/>
    <w:rsid w:val="00F2022C"/>
    <w:rsid w:val="00F22D06"/>
    <w:rsid w:val="00F25B01"/>
    <w:rsid w:val="00F310BD"/>
    <w:rsid w:val="00F310C7"/>
    <w:rsid w:val="00F312A5"/>
    <w:rsid w:val="00F32D49"/>
    <w:rsid w:val="00F345FA"/>
    <w:rsid w:val="00F36132"/>
    <w:rsid w:val="00F37C4F"/>
    <w:rsid w:val="00F427FD"/>
    <w:rsid w:val="00F42BDF"/>
    <w:rsid w:val="00F432C6"/>
    <w:rsid w:val="00F433F0"/>
    <w:rsid w:val="00F435E3"/>
    <w:rsid w:val="00F45F14"/>
    <w:rsid w:val="00F5198D"/>
    <w:rsid w:val="00F54A49"/>
    <w:rsid w:val="00F5745C"/>
    <w:rsid w:val="00F606DA"/>
    <w:rsid w:val="00F61AF7"/>
    <w:rsid w:val="00F64992"/>
    <w:rsid w:val="00F67215"/>
    <w:rsid w:val="00F673C8"/>
    <w:rsid w:val="00F71990"/>
    <w:rsid w:val="00F734B1"/>
    <w:rsid w:val="00F73F79"/>
    <w:rsid w:val="00F75AB6"/>
    <w:rsid w:val="00F80528"/>
    <w:rsid w:val="00FA02F9"/>
    <w:rsid w:val="00FA2BB9"/>
    <w:rsid w:val="00FA487F"/>
    <w:rsid w:val="00FA599B"/>
    <w:rsid w:val="00FA63DB"/>
    <w:rsid w:val="00FB0186"/>
    <w:rsid w:val="00FB0385"/>
    <w:rsid w:val="00FB0CEE"/>
    <w:rsid w:val="00FC0ECB"/>
    <w:rsid w:val="00FC15F9"/>
    <w:rsid w:val="00FC24A4"/>
    <w:rsid w:val="00FC354D"/>
    <w:rsid w:val="00FC6CE5"/>
    <w:rsid w:val="00FC6FB6"/>
    <w:rsid w:val="00FD1B99"/>
    <w:rsid w:val="00FD463F"/>
    <w:rsid w:val="00FD79F8"/>
    <w:rsid w:val="00FE1684"/>
    <w:rsid w:val="00FE3146"/>
    <w:rsid w:val="00FE3ADB"/>
    <w:rsid w:val="00FE4F01"/>
    <w:rsid w:val="00FF0A6A"/>
    <w:rsid w:val="00FF2429"/>
    <w:rsid w:val="00FF3294"/>
    <w:rsid w:val="00FF559B"/>
    <w:rsid w:val="00FF5BAF"/>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C3B3C"/>
  <w15:docId w15:val="{9F45738A-233F-497E-BFE4-77ABAADB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E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D38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D378B1"/>
    <w:pPr>
      <w:keepNext/>
      <w:jc w:val="both"/>
      <w:outlineLvl w:val="1"/>
    </w:pPr>
    <w:rPr>
      <w:sz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F10"/>
    <w:pPr>
      <w:tabs>
        <w:tab w:val="center" w:pos="4680"/>
        <w:tab w:val="right" w:pos="9360"/>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291F10"/>
    <w:rPr>
      <w:lang w:val="en-GB"/>
    </w:rPr>
  </w:style>
  <w:style w:type="paragraph" w:styleId="Footer">
    <w:name w:val="footer"/>
    <w:basedOn w:val="Normal"/>
    <w:link w:val="FooterChar"/>
    <w:uiPriority w:val="99"/>
    <w:unhideWhenUsed/>
    <w:rsid w:val="00291F10"/>
    <w:pPr>
      <w:tabs>
        <w:tab w:val="center" w:pos="4680"/>
        <w:tab w:val="right" w:pos="9360"/>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291F10"/>
    <w:rPr>
      <w:lang w:val="en-GB"/>
    </w:rPr>
  </w:style>
  <w:style w:type="paragraph" w:styleId="BalloonText">
    <w:name w:val="Balloon Text"/>
    <w:basedOn w:val="Normal"/>
    <w:link w:val="BalloonTextChar"/>
    <w:uiPriority w:val="99"/>
    <w:semiHidden/>
    <w:unhideWhenUsed/>
    <w:rsid w:val="00291F10"/>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291F10"/>
    <w:rPr>
      <w:rFonts w:ascii="Tahoma" w:hAnsi="Tahoma" w:cs="Tahoma"/>
      <w:sz w:val="16"/>
      <w:szCs w:val="16"/>
      <w:lang w:val="en-GB"/>
    </w:rPr>
  </w:style>
  <w:style w:type="character" w:customStyle="1" w:styleId="Heading2Char">
    <w:name w:val="Heading 2 Char"/>
    <w:basedOn w:val="DefaultParagraphFont"/>
    <w:link w:val="Heading2"/>
    <w:rsid w:val="00D378B1"/>
    <w:rPr>
      <w:rFonts w:ascii="Times New Roman" w:eastAsia="Times New Roman" w:hAnsi="Times New Roman" w:cs="Times New Roman"/>
      <w:sz w:val="24"/>
      <w:szCs w:val="20"/>
      <w:lang w:val="el-GR"/>
    </w:rPr>
  </w:style>
  <w:style w:type="paragraph" w:styleId="BodyText">
    <w:name w:val="Body Text"/>
    <w:basedOn w:val="Normal"/>
    <w:link w:val="BodyTextChar"/>
    <w:rsid w:val="00D378B1"/>
    <w:pPr>
      <w:jc w:val="both"/>
    </w:pPr>
    <w:rPr>
      <w:sz w:val="24"/>
      <w:lang w:val="el-GR"/>
    </w:rPr>
  </w:style>
  <w:style w:type="character" w:customStyle="1" w:styleId="BodyTextChar">
    <w:name w:val="Body Text Char"/>
    <w:basedOn w:val="DefaultParagraphFont"/>
    <w:link w:val="BodyText"/>
    <w:rsid w:val="00D378B1"/>
    <w:rPr>
      <w:rFonts w:ascii="Times New Roman" w:eastAsia="Times New Roman" w:hAnsi="Times New Roman" w:cs="Times New Roman"/>
      <w:sz w:val="24"/>
      <w:szCs w:val="20"/>
      <w:lang w:val="el-GR"/>
    </w:rPr>
  </w:style>
  <w:style w:type="paragraph" w:styleId="NoSpacing">
    <w:name w:val="No Spacing"/>
    <w:uiPriority w:val="1"/>
    <w:qFormat/>
    <w:rsid w:val="00B9775D"/>
    <w:pPr>
      <w:spacing w:after="0" w:line="240" w:lineRule="auto"/>
    </w:pPr>
    <w:rPr>
      <w:rFonts w:ascii="Times New Roman" w:eastAsia="Times New Roman" w:hAnsi="Times New Roman" w:cs="Times New Roman"/>
      <w:sz w:val="20"/>
      <w:szCs w:val="20"/>
    </w:rPr>
  </w:style>
  <w:style w:type="paragraph" w:styleId="ListParagraph">
    <w:name w:val="List Paragraph"/>
    <w:aliases w:val="Dot pt,F5 List Paragraph,List Paragraph1,Paragraphe EI,Paragraphe de liste1,EC,List Paragraph Main,List first level,Paragraphe de liste,Noise heading,RUS List,TOC style,lp1,Bullet OSM,Proposal Bullet List,Cell bullets,Issue Action POC,3"/>
    <w:basedOn w:val="Normal"/>
    <w:link w:val="ListParagraphChar"/>
    <w:uiPriority w:val="34"/>
    <w:qFormat/>
    <w:rsid w:val="00C07C5D"/>
    <w:pPr>
      <w:ind w:left="720"/>
    </w:pPr>
    <w:rPr>
      <w:sz w:val="24"/>
      <w:szCs w:val="24"/>
      <w:lang w:val="en-GB"/>
    </w:rPr>
  </w:style>
  <w:style w:type="table" w:styleId="TableGrid">
    <w:name w:val="Table Grid"/>
    <w:basedOn w:val="TableNormal"/>
    <w:uiPriority w:val="59"/>
    <w:rsid w:val="0015501F"/>
    <w:pPr>
      <w:spacing w:after="0" w:line="240" w:lineRule="auto"/>
    </w:pPr>
    <w:rPr>
      <w:rFonts w:eastAsiaTheme="minorEastAsia"/>
      <w:lang w:val="el-GR"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D387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451F6"/>
    <w:rPr>
      <w:color w:val="0000FF" w:themeColor="hyperlink"/>
      <w:u w:val="single"/>
    </w:rPr>
  </w:style>
  <w:style w:type="character" w:styleId="CommentReference">
    <w:name w:val="annotation reference"/>
    <w:basedOn w:val="DefaultParagraphFont"/>
    <w:uiPriority w:val="99"/>
    <w:semiHidden/>
    <w:unhideWhenUsed/>
    <w:rsid w:val="000701D1"/>
    <w:rPr>
      <w:sz w:val="16"/>
      <w:szCs w:val="16"/>
    </w:rPr>
  </w:style>
  <w:style w:type="paragraph" w:styleId="CommentText">
    <w:name w:val="annotation text"/>
    <w:basedOn w:val="Normal"/>
    <w:link w:val="CommentTextChar"/>
    <w:uiPriority w:val="99"/>
    <w:unhideWhenUsed/>
    <w:rsid w:val="000701D1"/>
  </w:style>
  <w:style w:type="character" w:customStyle="1" w:styleId="CommentTextChar">
    <w:name w:val="Comment Text Char"/>
    <w:basedOn w:val="DefaultParagraphFont"/>
    <w:link w:val="CommentText"/>
    <w:uiPriority w:val="99"/>
    <w:rsid w:val="000701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01D1"/>
    <w:rPr>
      <w:b/>
      <w:bCs/>
    </w:rPr>
  </w:style>
  <w:style w:type="character" w:customStyle="1" w:styleId="CommentSubjectChar">
    <w:name w:val="Comment Subject Char"/>
    <w:basedOn w:val="CommentTextChar"/>
    <w:link w:val="CommentSubject"/>
    <w:uiPriority w:val="99"/>
    <w:semiHidden/>
    <w:rsid w:val="000701D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D67C9D"/>
  </w:style>
  <w:style w:type="character" w:customStyle="1" w:styleId="FootnoteTextChar">
    <w:name w:val="Footnote Text Char"/>
    <w:basedOn w:val="DefaultParagraphFont"/>
    <w:link w:val="FootnoteText"/>
    <w:uiPriority w:val="99"/>
    <w:rsid w:val="00D67C9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67C9D"/>
    <w:rPr>
      <w:vertAlign w:val="superscript"/>
    </w:rPr>
  </w:style>
  <w:style w:type="character" w:customStyle="1" w:styleId="UnresolvedMention1">
    <w:name w:val="Unresolved Mention1"/>
    <w:basedOn w:val="DefaultParagraphFont"/>
    <w:uiPriority w:val="99"/>
    <w:semiHidden/>
    <w:unhideWhenUsed/>
    <w:rsid w:val="00106EA3"/>
    <w:rPr>
      <w:color w:val="605E5C"/>
      <w:shd w:val="clear" w:color="auto" w:fill="E1DFDD"/>
    </w:rPr>
  </w:style>
  <w:style w:type="character" w:customStyle="1" w:styleId="UnresolvedMention2">
    <w:name w:val="Unresolved Mention2"/>
    <w:basedOn w:val="DefaultParagraphFont"/>
    <w:uiPriority w:val="99"/>
    <w:semiHidden/>
    <w:unhideWhenUsed/>
    <w:rsid w:val="00912AF2"/>
    <w:rPr>
      <w:color w:val="605E5C"/>
      <w:shd w:val="clear" w:color="auto" w:fill="E1DFDD"/>
    </w:rPr>
  </w:style>
  <w:style w:type="character" w:styleId="FollowedHyperlink">
    <w:name w:val="FollowedHyperlink"/>
    <w:basedOn w:val="DefaultParagraphFont"/>
    <w:uiPriority w:val="99"/>
    <w:semiHidden/>
    <w:unhideWhenUsed/>
    <w:rsid w:val="00204E11"/>
    <w:rPr>
      <w:color w:val="800080" w:themeColor="followedHyperlink"/>
      <w:u w:val="single"/>
    </w:rPr>
  </w:style>
  <w:style w:type="paragraph" w:styleId="Revision">
    <w:name w:val="Revision"/>
    <w:hidden/>
    <w:uiPriority w:val="99"/>
    <w:semiHidden/>
    <w:rsid w:val="006E1D10"/>
    <w:pPr>
      <w:spacing w:after="0" w:line="240" w:lineRule="auto"/>
    </w:pPr>
    <w:rPr>
      <w:rFonts w:ascii="Times New Roman" w:eastAsia="Times New Roman" w:hAnsi="Times New Roman" w:cs="Times New Roman"/>
      <w:sz w:val="20"/>
      <w:szCs w:val="20"/>
    </w:rPr>
  </w:style>
  <w:style w:type="character" w:customStyle="1" w:styleId="hps">
    <w:name w:val="hps"/>
    <w:basedOn w:val="DefaultParagraphFont"/>
    <w:rsid w:val="003C2ED4"/>
  </w:style>
  <w:style w:type="character" w:customStyle="1" w:styleId="ListParagraphChar">
    <w:name w:val="List Paragraph Char"/>
    <w:aliases w:val="Dot pt Char,F5 List Paragraph Char,List Paragraph1 Char,Paragraphe EI Char,Paragraphe de liste1 Char,EC Char,List Paragraph Main Char,List first level Char,Paragraphe de liste Char,Noise heading Char,RUS List Char,TOC style Char"/>
    <w:basedOn w:val="DefaultParagraphFont"/>
    <w:link w:val="ListParagraph"/>
    <w:uiPriority w:val="34"/>
    <w:qFormat/>
    <w:locked/>
    <w:rsid w:val="003C2ED4"/>
    <w:rPr>
      <w:rFonts w:ascii="Times New Roman" w:eastAsia="Times New Roman" w:hAnsi="Times New Roman" w:cs="Times New Roman"/>
      <w:sz w:val="24"/>
      <w:szCs w:val="24"/>
      <w:lang w:val="en-GB"/>
    </w:rPr>
  </w:style>
  <w:style w:type="character" w:customStyle="1" w:styleId="BodyText2">
    <w:name w:val="Body Text2"/>
    <w:rsid w:val="003C2ED4"/>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n-US" w:eastAsia="en-US" w:bidi="en-US"/>
    </w:rPr>
  </w:style>
  <w:style w:type="paragraph" w:customStyle="1" w:styleId="Default">
    <w:name w:val="Default"/>
    <w:rsid w:val="00D84B01"/>
    <w:pPr>
      <w:autoSpaceDE w:val="0"/>
      <w:autoSpaceDN w:val="0"/>
      <w:adjustRightInd w:val="0"/>
      <w:spacing w:after="0" w:line="240" w:lineRule="auto"/>
    </w:pPr>
    <w:rPr>
      <w:rFonts w:ascii="Arial" w:eastAsia="Calibri" w:hAnsi="Arial" w:cs="Arial"/>
      <w:color w:val="000000"/>
      <w:sz w:val="24"/>
      <w:szCs w:val="24"/>
      <w:lang w:val="en-GB"/>
    </w:rPr>
  </w:style>
  <w:style w:type="character" w:styleId="Emphasis">
    <w:name w:val="Emphasis"/>
    <w:basedOn w:val="DefaultParagraphFont"/>
    <w:uiPriority w:val="20"/>
    <w:qFormat/>
    <w:rsid w:val="00CA074F"/>
    <w:rPr>
      <w:i/>
      <w:iCs/>
    </w:rPr>
  </w:style>
  <w:style w:type="paragraph" w:customStyle="1" w:styleId="ti-art">
    <w:name w:val="ti-art"/>
    <w:basedOn w:val="Normal"/>
    <w:rsid w:val="00C04376"/>
    <w:pPr>
      <w:spacing w:before="100" w:beforeAutospacing="1" w:after="100" w:afterAutospacing="1"/>
    </w:pPr>
    <w:rPr>
      <w:sz w:val="24"/>
      <w:szCs w:val="24"/>
      <w:lang w:val="el-GR" w:eastAsia="el-GR"/>
    </w:rPr>
  </w:style>
  <w:style w:type="paragraph" w:customStyle="1" w:styleId="sti-art">
    <w:name w:val="sti-art"/>
    <w:basedOn w:val="Normal"/>
    <w:rsid w:val="00C04376"/>
    <w:pPr>
      <w:spacing w:before="100" w:beforeAutospacing="1" w:after="100" w:afterAutospacing="1"/>
    </w:pPr>
    <w:rPr>
      <w:sz w:val="24"/>
      <w:szCs w:val="24"/>
      <w:lang w:val="el-GR" w:eastAsia="el-GR"/>
    </w:rPr>
  </w:style>
  <w:style w:type="paragraph" w:customStyle="1" w:styleId="Normal1">
    <w:name w:val="Normal1"/>
    <w:basedOn w:val="Normal"/>
    <w:rsid w:val="00C04376"/>
    <w:pPr>
      <w:spacing w:before="100" w:beforeAutospacing="1" w:after="100" w:afterAutospacing="1"/>
    </w:pPr>
    <w:rPr>
      <w:sz w:val="24"/>
      <w:szCs w:val="24"/>
      <w:lang w:val="el-GR" w:eastAsia="el-GR"/>
    </w:rPr>
  </w:style>
  <w:style w:type="character" w:customStyle="1" w:styleId="UnresolvedMention3">
    <w:name w:val="Unresolved Mention3"/>
    <w:basedOn w:val="DefaultParagraphFont"/>
    <w:uiPriority w:val="99"/>
    <w:semiHidden/>
    <w:unhideWhenUsed/>
    <w:rsid w:val="00572947"/>
    <w:rPr>
      <w:color w:val="605E5C"/>
      <w:shd w:val="clear" w:color="auto" w:fill="E1DFDD"/>
    </w:rPr>
  </w:style>
  <w:style w:type="character" w:customStyle="1" w:styleId="BodyText1">
    <w:name w:val="Body Text1"/>
    <w:basedOn w:val="DefaultParagraphFont"/>
    <w:rsid w:val="00C168E3"/>
    <w:rPr>
      <w:rFonts w:ascii="Calibri" w:eastAsia="Calibri" w:hAnsi="Calibri" w:cs="Calibri"/>
      <w:b w:val="0"/>
      <w:bCs w:val="0"/>
      <w:i w:val="0"/>
      <w:iCs w:val="0"/>
      <w:smallCaps w:val="0"/>
      <w:strike w:val="0"/>
      <w:color w:val="000000"/>
      <w:spacing w:val="0"/>
      <w:w w:val="100"/>
      <w:position w:val="0"/>
      <w:sz w:val="19"/>
      <w:szCs w:val="19"/>
      <w:u w:val="single"/>
      <w:lang w:val="en-US" w:eastAsia="en-US" w:bidi="en-US"/>
    </w:rPr>
  </w:style>
  <w:style w:type="character" w:customStyle="1" w:styleId="Bodytext0">
    <w:name w:val="Body text_"/>
    <w:basedOn w:val="DefaultParagraphFont"/>
    <w:rsid w:val="00984144"/>
    <w:rPr>
      <w:rFonts w:ascii="Calibri" w:eastAsia="Calibri" w:hAnsi="Calibri" w:cs="Calibri"/>
      <w:b w:val="0"/>
      <w:bCs w:val="0"/>
      <w:i w:val="0"/>
      <w:iCs w:val="0"/>
      <w:smallCaps w:val="0"/>
      <w:strike w:val="0"/>
      <w:sz w:val="22"/>
      <w:szCs w:val="22"/>
      <w:u w:val="none"/>
    </w:rPr>
  </w:style>
  <w:style w:type="character" w:customStyle="1" w:styleId="Bodytext3">
    <w:name w:val="Body text (3)_"/>
    <w:basedOn w:val="DefaultParagraphFont"/>
    <w:link w:val="Bodytext30"/>
    <w:rsid w:val="00984144"/>
    <w:rPr>
      <w:rFonts w:ascii="Calibri" w:eastAsia="Calibri" w:hAnsi="Calibri" w:cs="Calibri"/>
      <w:b/>
      <w:bCs/>
      <w:shd w:val="clear" w:color="auto" w:fill="FFFFFF"/>
    </w:rPr>
  </w:style>
  <w:style w:type="paragraph" w:customStyle="1" w:styleId="Bodytext30">
    <w:name w:val="Body text (3)"/>
    <w:basedOn w:val="Normal"/>
    <w:link w:val="Bodytext3"/>
    <w:rsid w:val="00984144"/>
    <w:pPr>
      <w:widowControl w:val="0"/>
      <w:shd w:val="clear" w:color="auto" w:fill="FFFFFF"/>
      <w:spacing w:before="540" w:line="293" w:lineRule="exact"/>
      <w:ind w:hanging="340"/>
      <w:jc w:val="both"/>
    </w:pPr>
    <w:rPr>
      <w:rFonts w:ascii="Calibri" w:eastAsia="Calibri" w:hAnsi="Calibri" w:cs="Calibri"/>
      <w:b/>
      <w:bCs/>
      <w:sz w:val="22"/>
      <w:szCs w:val="22"/>
    </w:rPr>
  </w:style>
  <w:style w:type="character" w:customStyle="1" w:styleId="Footnote2">
    <w:name w:val="Footnote (2)_"/>
    <w:basedOn w:val="DefaultParagraphFont"/>
    <w:rsid w:val="00984144"/>
    <w:rPr>
      <w:rFonts w:ascii="Calibri" w:eastAsia="Calibri" w:hAnsi="Calibri" w:cs="Calibri"/>
      <w:b w:val="0"/>
      <w:bCs w:val="0"/>
      <w:i w:val="0"/>
      <w:iCs w:val="0"/>
      <w:smallCaps w:val="0"/>
      <w:strike w:val="0"/>
      <w:sz w:val="19"/>
      <w:szCs w:val="19"/>
      <w:u w:val="none"/>
    </w:rPr>
  </w:style>
  <w:style w:type="character" w:customStyle="1" w:styleId="Footnote20">
    <w:name w:val="Footnote (2)"/>
    <w:basedOn w:val="Footnote2"/>
    <w:rsid w:val="00984144"/>
    <w:rPr>
      <w:rFonts w:ascii="Calibri" w:eastAsia="Calibri" w:hAnsi="Calibri" w:cs="Calibri"/>
      <w:b w:val="0"/>
      <w:bCs w:val="0"/>
      <w:i w:val="0"/>
      <w:iCs w:val="0"/>
      <w:smallCaps w:val="0"/>
      <w:strike w:val="0"/>
      <w:color w:val="000000"/>
      <w:spacing w:val="0"/>
      <w:w w:val="100"/>
      <w:position w:val="0"/>
      <w:sz w:val="19"/>
      <w:szCs w:val="19"/>
      <w:u w:val="single"/>
      <w:lang w:val="en-US" w:eastAsia="en-US" w:bidi="en-US"/>
    </w:rPr>
  </w:style>
  <w:style w:type="paragraph" w:styleId="ListBullet5">
    <w:name w:val="List Bullet 5"/>
    <w:basedOn w:val="Normal"/>
    <w:uiPriority w:val="99"/>
    <w:semiHidden/>
    <w:unhideWhenUsed/>
    <w:rsid w:val="002D14FF"/>
    <w:pPr>
      <w:numPr>
        <w:numId w:val="1"/>
      </w:numPr>
      <w:contextualSpacing/>
    </w:pPr>
  </w:style>
  <w:style w:type="paragraph" w:styleId="NormalWeb">
    <w:name w:val="Normal (Web)"/>
    <w:basedOn w:val="Normal"/>
    <w:uiPriority w:val="99"/>
    <w:rsid w:val="0035788B"/>
    <w:pPr>
      <w:spacing w:before="100" w:beforeAutospacing="1" w:after="100" w:afterAutospacing="1"/>
    </w:pPr>
    <w:rPr>
      <w:rFonts w:eastAsia="MS Mincho"/>
      <w:sz w:val="24"/>
      <w:szCs w:val="24"/>
      <w:lang w:val="el-GR" w:eastAsia="el-GR"/>
    </w:rPr>
  </w:style>
  <w:style w:type="paragraph" w:styleId="BodyText20">
    <w:name w:val="Body Text 2"/>
    <w:basedOn w:val="Normal"/>
    <w:link w:val="BodyText2Char"/>
    <w:uiPriority w:val="99"/>
    <w:semiHidden/>
    <w:unhideWhenUsed/>
    <w:rsid w:val="00047FBB"/>
    <w:pPr>
      <w:spacing w:after="120" w:line="480" w:lineRule="auto"/>
    </w:pPr>
  </w:style>
  <w:style w:type="character" w:customStyle="1" w:styleId="BodyText2Char">
    <w:name w:val="Body Text 2 Char"/>
    <w:basedOn w:val="DefaultParagraphFont"/>
    <w:link w:val="BodyText20"/>
    <w:uiPriority w:val="99"/>
    <w:semiHidden/>
    <w:rsid w:val="00047FBB"/>
    <w:rPr>
      <w:rFonts w:ascii="Times New Roman" w:eastAsia="Times New Roman" w:hAnsi="Times New Roman" w:cs="Times New Roman"/>
      <w:sz w:val="20"/>
      <w:szCs w:val="20"/>
    </w:rPr>
  </w:style>
  <w:style w:type="character" w:customStyle="1" w:styleId="BodyTextChar1">
    <w:name w:val="Body Text Char1"/>
    <w:basedOn w:val="DefaultParagraphFont"/>
    <w:locked/>
    <w:rsid w:val="00047FBB"/>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047FBB"/>
    <w:pPr>
      <w:spacing w:after="120" w:line="276" w:lineRule="auto"/>
      <w:ind w:left="360"/>
      <w:jc w:val="both"/>
    </w:pPr>
    <w:rPr>
      <w:rFonts w:eastAsiaTheme="minorHAnsi" w:cstheme="minorBidi"/>
      <w:sz w:val="24"/>
      <w:szCs w:val="22"/>
      <w:lang w:val="el-GR"/>
    </w:rPr>
  </w:style>
  <w:style w:type="character" w:customStyle="1" w:styleId="BodyTextIndentChar">
    <w:name w:val="Body Text Indent Char"/>
    <w:basedOn w:val="DefaultParagraphFont"/>
    <w:link w:val="BodyTextIndent"/>
    <w:rsid w:val="00047FBB"/>
    <w:rPr>
      <w:rFonts w:ascii="Times New Roman" w:hAnsi="Times New Roman"/>
      <w:sz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0894">
      <w:bodyDiv w:val="1"/>
      <w:marLeft w:val="0"/>
      <w:marRight w:val="0"/>
      <w:marTop w:val="0"/>
      <w:marBottom w:val="0"/>
      <w:divBdr>
        <w:top w:val="none" w:sz="0" w:space="0" w:color="auto"/>
        <w:left w:val="none" w:sz="0" w:space="0" w:color="auto"/>
        <w:bottom w:val="none" w:sz="0" w:space="0" w:color="auto"/>
        <w:right w:val="none" w:sz="0" w:space="0" w:color="auto"/>
      </w:divBdr>
    </w:div>
    <w:div w:id="171460973">
      <w:bodyDiv w:val="1"/>
      <w:marLeft w:val="0"/>
      <w:marRight w:val="0"/>
      <w:marTop w:val="0"/>
      <w:marBottom w:val="0"/>
      <w:divBdr>
        <w:top w:val="none" w:sz="0" w:space="0" w:color="auto"/>
        <w:left w:val="none" w:sz="0" w:space="0" w:color="auto"/>
        <w:bottom w:val="none" w:sz="0" w:space="0" w:color="auto"/>
        <w:right w:val="none" w:sz="0" w:space="0" w:color="auto"/>
      </w:divBdr>
    </w:div>
    <w:div w:id="287784711">
      <w:bodyDiv w:val="1"/>
      <w:marLeft w:val="0"/>
      <w:marRight w:val="0"/>
      <w:marTop w:val="0"/>
      <w:marBottom w:val="0"/>
      <w:divBdr>
        <w:top w:val="none" w:sz="0" w:space="0" w:color="auto"/>
        <w:left w:val="none" w:sz="0" w:space="0" w:color="auto"/>
        <w:bottom w:val="none" w:sz="0" w:space="0" w:color="auto"/>
        <w:right w:val="none" w:sz="0" w:space="0" w:color="auto"/>
      </w:divBdr>
    </w:div>
    <w:div w:id="327096624">
      <w:bodyDiv w:val="1"/>
      <w:marLeft w:val="0"/>
      <w:marRight w:val="0"/>
      <w:marTop w:val="0"/>
      <w:marBottom w:val="0"/>
      <w:divBdr>
        <w:top w:val="none" w:sz="0" w:space="0" w:color="auto"/>
        <w:left w:val="none" w:sz="0" w:space="0" w:color="auto"/>
        <w:bottom w:val="none" w:sz="0" w:space="0" w:color="auto"/>
        <w:right w:val="none" w:sz="0" w:space="0" w:color="auto"/>
      </w:divBdr>
    </w:div>
    <w:div w:id="365103693">
      <w:bodyDiv w:val="1"/>
      <w:marLeft w:val="0"/>
      <w:marRight w:val="0"/>
      <w:marTop w:val="0"/>
      <w:marBottom w:val="0"/>
      <w:divBdr>
        <w:top w:val="none" w:sz="0" w:space="0" w:color="auto"/>
        <w:left w:val="none" w:sz="0" w:space="0" w:color="auto"/>
        <w:bottom w:val="none" w:sz="0" w:space="0" w:color="auto"/>
        <w:right w:val="none" w:sz="0" w:space="0" w:color="auto"/>
      </w:divBdr>
    </w:div>
    <w:div w:id="640621196">
      <w:bodyDiv w:val="1"/>
      <w:marLeft w:val="0"/>
      <w:marRight w:val="0"/>
      <w:marTop w:val="0"/>
      <w:marBottom w:val="0"/>
      <w:divBdr>
        <w:top w:val="none" w:sz="0" w:space="0" w:color="auto"/>
        <w:left w:val="none" w:sz="0" w:space="0" w:color="auto"/>
        <w:bottom w:val="none" w:sz="0" w:space="0" w:color="auto"/>
        <w:right w:val="none" w:sz="0" w:space="0" w:color="auto"/>
      </w:divBdr>
    </w:div>
    <w:div w:id="696194783">
      <w:bodyDiv w:val="1"/>
      <w:marLeft w:val="0"/>
      <w:marRight w:val="0"/>
      <w:marTop w:val="0"/>
      <w:marBottom w:val="0"/>
      <w:divBdr>
        <w:top w:val="none" w:sz="0" w:space="0" w:color="auto"/>
        <w:left w:val="none" w:sz="0" w:space="0" w:color="auto"/>
        <w:bottom w:val="none" w:sz="0" w:space="0" w:color="auto"/>
        <w:right w:val="none" w:sz="0" w:space="0" w:color="auto"/>
      </w:divBdr>
    </w:div>
    <w:div w:id="700011095">
      <w:bodyDiv w:val="1"/>
      <w:marLeft w:val="0"/>
      <w:marRight w:val="0"/>
      <w:marTop w:val="0"/>
      <w:marBottom w:val="0"/>
      <w:divBdr>
        <w:top w:val="none" w:sz="0" w:space="0" w:color="auto"/>
        <w:left w:val="none" w:sz="0" w:space="0" w:color="auto"/>
        <w:bottom w:val="none" w:sz="0" w:space="0" w:color="auto"/>
        <w:right w:val="none" w:sz="0" w:space="0" w:color="auto"/>
      </w:divBdr>
    </w:div>
    <w:div w:id="874389720">
      <w:bodyDiv w:val="1"/>
      <w:marLeft w:val="0"/>
      <w:marRight w:val="0"/>
      <w:marTop w:val="0"/>
      <w:marBottom w:val="0"/>
      <w:divBdr>
        <w:top w:val="none" w:sz="0" w:space="0" w:color="auto"/>
        <w:left w:val="none" w:sz="0" w:space="0" w:color="auto"/>
        <w:bottom w:val="none" w:sz="0" w:space="0" w:color="auto"/>
        <w:right w:val="none" w:sz="0" w:space="0" w:color="auto"/>
      </w:divBdr>
    </w:div>
    <w:div w:id="907306471">
      <w:bodyDiv w:val="1"/>
      <w:marLeft w:val="0"/>
      <w:marRight w:val="0"/>
      <w:marTop w:val="0"/>
      <w:marBottom w:val="0"/>
      <w:divBdr>
        <w:top w:val="none" w:sz="0" w:space="0" w:color="auto"/>
        <w:left w:val="none" w:sz="0" w:space="0" w:color="auto"/>
        <w:bottom w:val="none" w:sz="0" w:space="0" w:color="auto"/>
        <w:right w:val="none" w:sz="0" w:space="0" w:color="auto"/>
      </w:divBdr>
    </w:div>
    <w:div w:id="1011444214">
      <w:bodyDiv w:val="1"/>
      <w:marLeft w:val="0"/>
      <w:marRight w:val="0"/>
      <w:marTop w:val="0"/>
      <w:marBottom w:val="0"/>
      <w:divBdr>
        <w:top w:val="none" w:sz="0" w:space="0" w:color="auto"/>
        <w:left w:val="none" w:sz="0" w:space="0" w:color="auto"/>
        <w:bottom w:val="none" w:sz="0" w:space="0" w:color="auto"/>
        <w:right w:val="none" w:sz="0" w:space="0" w:color="auto"/>
      </w:divBdr>
    </w:div>
    <w:div w:id="1354839669">
      <w:bodyDiv w:val="1"/>
      <w:marLeft w:val="0"/>
      <w:marRight w:val="0"/>
      <w:marTop w:val="0"/>
      <w:marBottom w:val="0"/>
      <w:divBdr>
        <w:top w:val="none" w:sz="0" w:space="0" w:color="auto"/>
        <w:left w:val="none" w:sz="0" w:space="0" w:color="auto"/>
        <w:bottom w:val="none" w:sz="0" w:space="0" w:color="auto"/>
        <w:right w:val="none" w:sz="0" w:space="0" w:color="auto"/>
      </w:divBdr>
    </w:div>
    <w:div w:id="1649748211">
      <w:bodyDiv w:val="1"/>
      <w:marLeft w:val="0"/>
      <w:marRight w:val="0"/>
      <w:marTop w:val="0"/>
      <w:marBottom w:val="0"/>
      <w:divBdr>
        <w:top w:val="none" w:sz="0" w:space="0" w:color="auto"/>
        <w:left w:val="none" w:sz="0" w:space="0" w:color="auto"/>
        <w:bottom w:val="none" w:sz="0" w:space="0" w:color="auto"/>
        <w:right w:val="none" w:sz="0" w:space="0" w:color="auto"/>
      </w:divBdr>
    </w:div>
    <w:div w:id="1655721181">
      <w:bodyDiv w:val="1"/>
      <w:marLeft w:val="0"/>
      <w:marRight w:val="0"/>
      <w:marTop w:val="0"/>
      <w:marBottom w:val="0"/>
      <w:divBdr>
        <w:top w:val="none" w:sz="0" w:space="0" w:color="auto"/>
        <w:left w:val="none" w:sz="0" w:space="0" w:color="auto"/>
        <w:bottom w:val="none" w:sz="0" w:space="0" w:color="auto"/>
        <w:right w:val="none" w:sz="0" w:space="0" w:color="auto"/>
      </w:divBdr>
    </w:div>
    <w:div w:id="1678995341">
      <w:bodyDiv w:val="1"/>
      <w:marLeft w:val="0"/>
      <w:marRight w:val="0"/>
      <w:marTop w:val="0"/>
      <w:marBottom w:val="0"/>
      <w:divBdr>
        <w:top w:val="none" w:sz="0" w:space="0" w:color="auto"/>
        <w:left w:val="none" w:sz="0" w:space="0" w:color="auto"/>
        <w:bottom w:val="none" w:sz="0" w:space="0" w:color="auto"/>
        <w:right w:val="none" w:sz="0" w:space="0" w:color="auto"/>
      </w:divBdr>
    </w:div>
    <w:div w:id="1731340177">
      <w:bodyDiv w:val="1"/>
      <w:marLeft w:val="0"/>
      <w:marRight w:val="0"/>
      <w:marTop w:val="0"/>
      <w:marBottom w:val="0"/>
      <w:divBdr>
        <w:top w:val="none" w:sz="0" w:space="0" w:color="auto"/>
        <w:left w:val="none" w:sz="0" w:space="0" w:color="auto"/>
        <w:bottom w:val="none" w:sz="0" w:space="0" w:color="auto"/>
        <w:right w:val="none" w:sz="0" w:space="0" w:color="auto"/>
      </w:divBdr>
    </w:div>
    <w:div w:id="1927768556">
      <w:bodyDiv w:val="1"/>
      <w:marLeft w:val="0"/>
      <w:marRight w:val="0"/>
      <w:marTop w:val="0"/>
      <w:marBottom w:val="0"/>
      <w:divBdr>
        <w:top w:val="none" w:sz="0" w:space="0" w:color="auto"/>
        <w:left w:val="none" w:sz="0" w:space="0" w:color="auto"/>
        <w:bottom w:val="none" w:sz="0" w:space="0" w:color="auto"/>
        <w:right w:val="none" w:sz="0" w:space="0" w:color="auto"/>
      </w:divBdr>
    </w:div>
    <w:div w:id="198823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1DB04-A23A-4C60-8579-651D04C2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1573</Words>
  <Characters>8967</Characters>
  <Application>Microsoft Office Word</Application>
  <DocSecurity>0</DocSecurity>
  <Lines>74</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c:creator>
  <cp:lastModifiedBy>Georgina Georgiadou</cp:lastModifiedBy>
  <cp:revision>11</cp:revision>
  <cp:lastPrinted>2019-03-26T11:25:00Z</cp:lastPrinted>
  <dcterms:created xsi:type="dcterms:W3CDTF">2023-05-29T18:13:00Z</dcterms:created>
  <dcterms:modified xsi:type="dcterms:W3CDTF">2024-12-06T13:44:00Z</dcterms:modified>
</cp:coreProperties>
</file>