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3B" w:rsidRPr="006D3A4C" w:rsidRDefault="00ED493A" w:rsidP="0024093B">
      <w:pPr>
        <w:keepNext/>
        <w:spacing w:line="360" w:lineRule="auto"/>
        <w:jc w:val="center"/>
        <w:outlineLvl w:val="1"/>
        <w:rPr>
          <w:rFonts w:ascii="Arial" w:eastAsia="Times New Roman" w:hAnsi="Arial" w:cs="Arial"/>
          <w:b/>
          <w:bCs/>
          <w:caps/>
          <w:sz w:val="20"/>
          <w:szCs w:val="20"/>
          <w:lang w:eastAsia="en-US"/>
        </w:rPr>
      </w:pPr>
      <w:r>
        <w:rPr>
          <w:rFonts w:ascii="Arial" w:eastAsia="Times New Roman" w:hAnsi="Arial" w:cs="Arial"/>
          <w:b/>
          <w:bCs/>
          <w:caps/>
          <w:sz w:val="20"/>
          <w:szCs w:val="20"/>
          <w:lang w:val="en-US" w:eastAsia="en-US"/>
        </w:rPr>
        <w:t xml:space="preserve">                                                                                                     </w:t>
      </w:r>
      <w:r w:rsidR="0024093B" w:rsidRPr="006D3A4C">
        <w:rPr>
          <w:rFonts w:ascii="Arial" w:eastAsia="Times New Roman" w:hAnsi="Arial" w:cs="Arial"/>
          <w:b/>
          <w:bCs/>
          <w:caps/>
          <w:sz w:val="20"/>
          <w:szCs w:val="20"/>
          <w:lang w:eastAsia="en-US"/>
        </w:rPr>
        <w:t xml:space="preserve">ΕΝΤΥΠΟ </w:t>
      </w:r>
      <w:r w:rsidR="0024093B" w:rsidRPr="006D3A4C">
        <w:rPr>
          <w:rFonts w:ascii="Arial" w:eastAsia="Times New Roman" w:hAnsi="Arial" w:cs="Arial"/>
          <w:b/>
          <w:bCs/>
          <w:caps/>
          <w:sz w:val="20"/>
          <w:szCs w:val="20"/>
          <w:lang w:val="en-US" w:eastAsia="en-US"/>
        </w:rPr>
        <w:t>e</w:t>
      </w:r>
      <w:r w:rsidR="0024093B" w:rsidRPr="006D3A4C">
        <w:rPr>
          <w:rFonts w:ascii="Arial" w:eastAsia="Times New Roman" w:hAnsi="Arial" w:cs="Arial"/>
          <w:b/>
          <w:bCs/>
          <w:caps/>
          <w:sz w:val="20"/>
          <w:szCs w:val="20"/>
          <w:lang w:eastAsia="en-US"/>
        </w:rPr>
        <w:t>78-2012-08</w:t>
      </w:r>
    </w:p>
    <w:p w:rsidR="0024093B" w:rsidRPr="006D3A4C" w:rsidRDefault="0024093B" w:rsidP="0024093B">
      <w:pPr>
        <w:spacing w:after="200" w:line="276" w:lineRule="auto"/>
        <w:jc w:val="center"/>
        <w:rPr>
          <w:rFonts w:ascii="Arial" w:eastAsia="Calibri" w:hAnsi="Arial" w:cs="Arial"/>
          <w:b/>
          <w:caps/>
          <w:sz w:val="20"/>
          <w:szCs w:val="20"/>
          <w:lang w:eastAsia="en-US"/>
        </w:rPr>
      </w:pPr>
    </w:p>
    <w:p w:rsidR="0024093B" w:rsidRPr="006D3A4C" w:rsidRDefault="0024093B" w:rsidP="0024093B">
      <w:pPr>
        <w:spacing w:after="200" w:line="276" w:lineRule="auto"/>
        <w:jc w:val="center"/>
        <w:rPr>
          <w:rFonts w:ascii="Arial" w:eastAsia="Calibri" w:hAnsi="Arial" w:cs="Arial"/>
          <w:b/>
          <w:caps/>
          <w:sz w:val="20"/>
          <w:szCs w:val="20"/>
          <w:lang w:eastAsia="en-US"/>
        </w:rPr>
      </w:pPr>
      <w:r w:rsidRPr="006D3A4C">
        <w:rPr>
          <w:rFonts w:ascii="Arial" w:eastAsia="Calibri" w:hAnsi="Arial" w:cs="Arial"/>
          <w:b/>
          <w:caps/>
          <w:sz w:val="20"/>
          <w:szCs w:val="20"/>
          <w:lang w:eastAsia="en-US"/>
        </w:rPr>
        <w:t>πληροφορίες και στοιχεία που υποβάλλει η Εταιρία Επενδύσεων Μεταβλητού Κεφαλαίου που αιτείται την εξαίρεση από την υποχρέωσή της για διορισμό Θεματοφύλακα ΣΥΜΦΩΝΑ ΜΕ ΤΟ ΑΡΘΡΟ 35 ΤΟΥ ΝΟΜΟΥ</w:t>
      </w:r>
    </w:p>
    <w:p w:rsidR="0024093B" w:rsidRPr="006D3A4C" w:rsidRDefault="0024093B" w:rsidP="0024093B">
      <w:pPr>
        <w:spacing w:after="200" w:line="276" w:lineRule="auto"/>
        <w:jc w:val="both"/>
        <w:rPr>
          <w:rFonts w:ascii="Arial" w:eastAsia="Calibri" w:hAnsi="Arial" w:cs="Arial"/>
          <w:sz w:val="20"/>
          <w:szCs w:val="20"/>
          <w:lang w:eastAsia="en-US"/>
        </w:rPr>
      </w:pPr>
    </w:p>
    <w:p w:rsidR="0024093B" w:rsidRPr="006D3A4C" w:rsidRDefault="0024093B" w:rsidP="0024093B">
      <w:pPr>
        <w:spacing w:after="200" w:line="276" w:lineRule="auto"/>
        <w:jc w:val="both"/>
        <w:rPr>
          <w:rFonts w:ascii="Arial" w:eastAsia="Calibri" w:hAnsi="Arial" w:cs="Arial"/>
          <w:b/>
          <w:sz w:val="20"/>
          <w:szCs w:val="20"/>
          <w:lang w:eastAsia="en-US"/>
        </w:rPr>
      </w:pPr>
      <w:r w:rsidRPr="006D3A4C">
        <w:rPr>
          <w:rFonts w:ascii="Arial" w:eastAsia="Calibri" w:hAnsi="Arial" w:cs="Arial"/>
          <w:b/>
          <w:sz w:val="20"/>
          <w:szCs w:val="20"/>
          <w:lang w:eastAsia="en-US"/>
        </w:rPr>
        <w:t>Σημειώστε Χ στο αντίστοιχο σημείο.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24093B" w:rsidRPr="006D3A4C" w:rsidTr="0076705D">
        <w:tc>
          <w:tcPr>
            <w:tcW w:w="4261" w:type="dxa"/>
          </w:tcPr>
          <w:p w:rsidR="0024093B" w:rsidRPr="006D3A4C" w:rsidRDefault="0024093B" w:rsidP="0076705D">
            <w:pPr>
              <w:jc w:val="both"/>
              <w:rPr>
                <w:rFonts w:ascii="Arial" w:eastAsia="Calibri" w:hAnsi="Arial" w:cs="Arial"/>
                <w:sz w:val="20"/>
                <w:szCs w:val="20"/>
                <w:lang w:eastAsia="en-US"/>
              </w:rPr>
            </w:pPr>
            <w:r w:rsidRPr="006D3A4C">
              <w:rPr>
                <w:rFonts w:ascii="Arial" w:eastAsia="Calibri" w:hAnsi="Arial" w:cs="Arial"/>
                <w:sz w:val="20"/>
                <w:szCs w:val="20"/>
                <w:lang w:eastAsia="en-US"/>
              </w:rPr>
              <w:t xml:space="preserve">Η εξαίρεση από την υποχρέωση για διορισμό Θεματοφύλακα θα εμπίπτει στο </w:t>
            </w:r>
            <w:r w:rsidRPr="006D3A4C">
              <w:rPr>
                <w:rFonts w:ascii="Arial" w:eastAsia="Calibri" w:hAnsi="Arial" w:cs="Arial"/>
                <w:b/>
                <w:sz w:val="20"/>
                <w:szCs w:val="20"/>
                <w:lang w:eastAsia="en-US"/>
              </w:rPr>
              <w:t>άρθρο 35 (1)</w:t>
            </w:r>
            <w:r w:rsidRPr="006D3A4C">
              <w:rPr>
                <w:rFonts w:ascii="Arial" w:eastAsia="Calibri" w:hAnsi="Arial" w:cs="Arial"/>
                <w:sz w:val="20"/>
                <w:szCs w:val="20"/>
                <w:lang w:eastAsia="en-US"/>
              </w:rPr>
              <w:t xml:space="preserve"> του Νόμου.</w:t>
            </w:r>
          </w:p>
        </w:tc>
        <w:tc>
          <w:tcPr>
            <w:tcW w:w="4261" w:type="dxa"/>
          </w:tcPr>
          <w:p w:rsidR="0024093B" w:rsidRPr="006D3A4C" w:rsidRDefault="0024093B" w:rsidP="0076705D">
            <w:pPr>
              <w:jc w:val="both"/>
              <w:rPr>
                <w:rFonts w:ascii="Arial" w:eastAsia="Calibri" w:hAnsi="Arial" w:cs="Arial"/>
                <w:sz w:val="20"/>
                <w:szCs w:val="20"/>
                <w:lang w:eastAsia="en-US"/>
              </w:rPr>
            </w:pPr>
            <w:r w:rsidRPr="006D3A4C">
              <w:rPr>
                <w:rFonts w:ascii="Arial" w:eastAsia="Calibri" w:hAnsi="Arial" w:cs="Arial"/>
                <w:sz w:val="20"/>
                <w:szCs w:val="20"/>
                <w:lang w:eastAsia="en-US"/>
              </w:rPr>
              <w:t xml:space="preserve">Η εξαίρεση από την υποχρέωση για διορισμό Θεματοφύλακα θα εμπίπτει στο </w:t>
            </w:r>
            <w:r w:rsidRPr="006D3A4C">
              <w:rPr>
                <w:rFonts w:ascii="Arial" w:eastAsia="Calibri" w:hAnsi="Arial" w:cs="Arial"/>
                <w:b/>
                <w:sz w:val="20"/>
                <w:szCs w:val="20"/>
                <w:lang w:eastAsia="en-US"/>
              </w:rPr>
              <w:t xml:space="preserve">άρθρο 35 (4) </w:t>
            </w:r>
            <w:r w:rsidRPr="006D3A4C">
              <w:rPr>
                <w:rFonts w:ascii="Arial" w:eastAsia="Calibri" w:hAnsi="Arial" w:cs="Arial"/>
                <w:sz w:val="20"/>
                <w:szCs w:val="20"/>
                <w:lang w:eastAsia="en-US"/>
              </w:rPr>
              <w:t>του Νόμου.</w:t>
            </w:r>
          </w:p>
        </w:tc>
      </w:tr>
      <w:tr w:rsidR="0024093B" w:rsidRPr="006D3A4C" w:rsidTr="0076705D">
        <w:tc>
          <w:tcPr>
            <w:tcW w:w="4261" w:type="dxa"/>
          </w:tcPr>
          <w:p w:rsidR="0024093B" w:rsidRPr="006D3A4C" w:rsidRDefault="0024093B" w:rsidP="0076705D">
            <w:pPr>
              <w:jc w:val="both"/>
              <w:rPr>
                <w:rFonts w:ascii="Arial" w:eastAsia="Calibri" w:hAnsi="Arial" w:cs="Arial"/>
                <w:sz w:val="20"/>
                <w:szCs w:val="20"/>
                <w:lang w:eastAsia="en-US"/>
              </w:rPr>
            </w:pP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tblGrid>
            <w:tr w:rsidR="0024093B" w:rsidRPr="006D3A4C" w:rsidTr="0076705D">
              <w:trPr>
                <w:trHeight w:val="614"/>
              </w:trPr>
              <w:tc>
                <w:tcPr>
                  <w:tcW w:w="1615" w:type="dxa"/>
                </w:tcPr>
                <w:p w:rsidR="0024093B" w:rsidRPr="006D3A4C" w:rsidRDefault="0024093B" w:rsidP="0076705D">
                  <w:pPr>
                    <w:jc w:val="both"/>
                    <w:rPr>
                      <w:rFonts w:ascii="Arial" w:eastAsia="Calibri" w:hAnsi="Arial" w:cs="Arial"/>
                      <w:sz w:val="20"/>
                      <w:szCs w:val="20"/>
                      <w:lang w:eastAsia="en-US"/>
                    </w:rPr>
                  </w:pPr>
                </w:p>
                <w:p w:rsidR="0024093B" w:rsidRPr="006D3A4C" w:rsidRDefault="0024093B" w:rsidP="0076705D">
                  <w:pPr>
                    <w:jc w:val="both"/>
                    <w:rPr>
                      <w:rFonts w:ascii="Arial" w:eastAsia="Calibri" w:hAnsi="Arial" w:cs="Arial"/>
                      <w:sz w:val="20"/>
                      <w:szCs w:val="20"/>
                      <w:lang w:eastAsia="en-US"/>
                    </w:rPr>
                  </w:pPr>
                </w:p>
              </w:tc>
            </w:tr>
          </w:tbl>
          <w:p w:rsidR="0024093B" w:rsidRPr="006D3A4C" w:rsidRDefault="0024093B" w:rsidP="0076705D">
            <w:pPr>
              <w:jc w:val="both"/>
              <w:rPr>
                <w:rFonts w:ascii="Arial" w:eastAsia="Calibri" w:hAnsi="Arial" w:cs="Arial"/>
                <w:sz w:val="20"/>
                <w:szCs w:val="20"/>
                <w:lang w:eastAsia="en-US"/>
              </w:rPr>
            </w:pPr>
          </w:p>
        </w:tc>
        <w:tc>
          <w:tcPr>
            <w:tcW w:w="4261" w:type="dxa"/>
          </w:tcPr>
          <w:p w:rsidR="0024093B" w:rsidRPr="006D3A4C" w:rsidRDefault="0024093B" w:rsidP="0076705D">
            <w:pPr>
              <w:jc w:val="both"/>
              <w:rPr>
                <w:rFonts w:ascii="Arial" w:eastAsia="Calibri" w:hAnsi="Arial" w:cs="Arial"/>
                <w:sz w:val="20"/>
                <w:szCs w:val="20"/>
                <w:lang w:eastAsia="en-US"/>
              </w:rPr>
            </w:pP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tblGrid>
            <w:tr w:rsidR="0024093B" w:rsidRPr="006D3A4C" w:rsidTr="0076705D">
              <w:trPr>
                <w:trHeight w:val="614"/>
              </w:trPr>
              <w:tc>
                <w:tcPr>
                  <w:tcW w:w="1615" w:type="dxa"/>
                </w:tcPr>
                <w:p w:rsidR="0024093B" w:rsidRPr="006D3A4C" w:rsidRDefault="0024093B" w:rsidP="0076705D">
                  <w:pPr>
                    <w:jc w:val="both"/>
                    <w:rPr>
                      <w:rFonts w:ascii="Arial" w:eastAsia="Calibri" w:hAnsi="Arial" w:cs="Arial"/>
                      <w:sz w:val="20"/>
                      <w:szCs w:val="20"/>
                      <w:lang w:eastAsia="en-US"/>
                    </w:rPr>
                  </w:pPr>
                </w:p>
                <w:p w:rsidR="0024093B" w:rsidRPr="006D3A4C" w:rsidRDefault="0024093B" w:rsidP="0076705D">
                  <w:pPr>
                    <w:jc w:val="both"/>
                    <w:rPr>
                      <w:rFonts w:ascii="Arial" w:eastAsia="Calibri" w:hAnsi="Arial" w:cs="Arial"/>
                      <w:sz w:val="20"/>
                      <w:szCs w:val="20"/>
                      <w:lang w:eastAsia="en-US"/>
                    </w:rPr>
                  </w:pPr>
                </w:p>
              </w:tc>
            </w:tr>
          </w:tbl>
          <w:p w:rsidR="0024093B" w:rsidRPr="006D3A4C" w:rsidRDefault="0024093B" w:rsidP="0076705D">
            <w:pPr>
              <w:jc w:val="both"/>
              <w:rPr>
                <w:rFonts w:ascii="Arial" w:eastAsia="Calibri" w:hAnsi="Arial" w:cs="Arial"/>
                <w:sz w:val="20"/>
                <w:szCs w:val="20"/>
                <w:lang w:eastAsia="en-US"/>
              </w:rPr>
            </w:pPr>
          </w:p>
        </w:tc>
      </w:tr>
    </w:tbl>
    <w:p w:rsidR="0024093B" w:rsidRPr="006D3A4C" w:rsidRDefault="0024093B" w:rsidP="0024093B">
      <w:pPr>
        <w:spacing w:after="200" w:line="276" w:lineRule="auto"/>
        <w:jc w:val="both"/>
        <w:rPr>
          <w:rFonts w:ascii="Arial" w:eastAsia="Calibri" w:hAnsi="Arial" w:cs="Arial"/>
          <w:sz w:val="20"/>
          <w:szCs w:val="20"/>
          <w:lang w:eastAsia="en-US"/>
        </w:rPr>
      </w:pPr>
    </w:p>
    <w:p w:rsidR="0024093B" w:rsidRPr="006D3A4C" w:rsidRDefault="0024093B" w:rsidP="0024093B">
      <w:pPr>
        <w:spacing w:after="200" w:line="276" w:lineRule="auto"/>
        <w:jc w:val="both"/>
        <w:rPr>
          <w:rFonts w:ascii="Arial" w:eastAsia="Calibri" w:hAnsi="Arial" w:cs="Arial"/>
          <w:sz w:val="20"/>
          <w:szCs w:val="20"/>
          <w:lang w:eastAsia="en-US"/>
        </w:rPr>
      </w:pPr>
      <w:r w:rsidRPr="006D3A4C">
        <w:rPr>
          <w:rFonts w:ascii="Arial" w:eastAsia="Calibri" w:hAnsi="Arial" w:cs="Arial"/>
          <w:sz w:val="20"/>
          <w:szCs w:val="20"/>
          <w:lang w:eastAsia="en-US"/>
        </w:rPr>
        <w:t>Τα κατωτέρω στοιχεία συνοδεύουν την αίτηση χορήγησης άδειας λειτουργίας σε αντιστοιχία με την ανωτέρω δήλωση.</w:t>
      </w:r>
    </w:p>
    <w:p w:rsidR="0024093B" w:rsidRPr="006D3A4C" w:rsidRDefault="0024093B" w:rsidP="0024093B">
      <w:pPr>
        <w:spacing w:after="200" w:line="276" w:lineRule="auto"/>
        <w:jc w:val="both"/>
        <w:rPr>
          <w:rFonts w:ascii="Arial" w:eastAsia="Calibri" w:hAnsi="Arial" w:cs="Arial"/>
          <w:b/>
          <w:caps/>
          <w:sz w:val="20"/>
          <w:szCs w:val="20"/>
          <w:lang w:eastAsia="en-US"/>
        </w:rPr>
      </w:pPr>
      <w:proofErr w:type="gramStart"/>
      <w:r w:rsidRPr="006D3A4C">
        <w:rPr>
          <w:rFonts w:ascii="Arial" w:eastAsia="Calibri" w:hAnsi="Arial" w:cs="Arial"/>
          <w:b/>
          <w:sz w:val="20"/>
          <w:szCs w:val="20"/>
          <w:lang w:val="en-US" w:eastAsia="en-US"/>
        </w:rPr>
        <w:t>I</w:t>
      </w:r>
      <w:r w:rsidRPr="006D3A4C">
        <w:rPr>
          <w:rFonts w:ascii="Arial" w:eastAsia="Calibri" w:hAnsi="Arial" w:cs="Arial"/>
          <w:b/>
          <w:sz w:val="20"/>
          <w:szCs w:val="20"/>
          <w:lang w:eastAsia="en-US"/>
        </w:rPr>
        <w:t xml:space="preserve">. </w:t>
      </w:r>
      <w:r w:rsidRPr="006D3A4C">
        <w:rPr>
          <w:rFonts w:ascii="Arial" w:eastAsia="Calibri" w:hAnsi="Arial" w:cs="Arial"/>
          <w:b/>
          <w:caps/>
          <w:sz w:val="20"/>
          <w:szCs w:val="20"/>
          <w:lang w:eastAsia="en-US"/>
        </w:rPr>
        <w:t>Εταιρία Επενδύσεων Μεταβλητού Κεφαλαίου που αιτείται την εξαίρεση από την υποχρέωσή της για διορισμό Θεματοφύλακα ΣΥΜΦΩΝΑ ΜΕ ΤΟ ΑΡΘΡΟ 35 (1) ΤΟΥ ΝΟΜΟΥ.</w:t>
      </w:r>
      <w:proofErr w:type="gramEnd"/>
    </w:p>
    <w:p w:rsidR="0024093B" w:rsidRPr="006D3A4C" w:rsidRDefault="0024093B" w:rsidP="0024093B">
      <w:pPr>
        <w:spacing w:after="200" w:line="276" w:lineRule="auto"/>
        <w:jc w:val="both"/>
        <w:rPr>
          <w:rFonts w:ascii="Arial" w:eastAsia="Calibri" w:hAnsi="Arial" w:cs="Arial"/>
          <w:b/>
          <w:caps/>
          <w:sz w:val="20"/>
          <w:szCs w:val="20"/>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1339"/>
        <w:gridCol w:w="1560"/>
        <w:gridCol w:w="2409"/>
      </w:tblGrid>
      <w:tr w:rsidR="0024093B" w:rsidRPr="006D3A4C" w:rsidTr="0076705D">
        <w:tc>
          <w:tcPr>
            <w:tcW w:w="4473" w:type="dxa"/>
            <w:vAlign w:val="center"/>
          </w:tcPr>
          <w:p w:rsidR="0024093B" w:rsidRPr="006D3A4C" w:rsidRDefault="0024093B" w:rsidP="0076705D">
            <w:pPr>
              <w:tabs>
                <w:tab w:val="left" w:pos="1200"/>
              </w:tabs>
              <w:spacing w:after="200" w:line="360" w:lineRule="auto"/>
              <w:ind w:left="-100"/>
              <w:jc w:val="center"/>
              <w:rPr>
                <w:rFonts w:ascii="Arial" w:eastAsia="Calibri" w:hAnsi="Arial" w:cs="Arial"/>
                <w:b/>
                <w:iCs/>
                <w:sz w:val="20"/>
                <w:szCs w:val="20"/>
                <w:lang w:eastAsia="en-US"/>
              </w:rPr>
            </w:pPr>
            <w:r w:rsidRPr="006D3A4C">
              <w:rPr>
                <w:rFonts w:ascii="Arial" w:eastAsia="Calibri" w:hAnsi="Arial" w:cs="Arial"/>
                <w:b/>
                <w:iCs/>
                <w:sz w:val="20"/>
                <w:szCs w:val="20"/>
                <w:lang w:eastAsia="en-US"/>
              </w:rPr>
              <w:t>Συνοδευτικά στοιχεία αίτησης</w:t>
            </w:r>
          </w:p>
          <w:p w:rsidR="0024093B" w:rsidRPr="006D3A4C" w:rsidRDefault="0024093B" w:rsidP="0076705D">
            <w:pPr>
              <w:tabs>
                <w:tab w:val="left" w:pos="1200"/>
              </w:tabs>
              <w:spacing w:after="200" w:line="360" w:lineRule="auto"/>
              <w:ind w:left="-100"/>
              <w:jc w:val="center"/>
              <w:rPr>
                <w:rFonts w:ascii="Arial" w:eastAsia="Calibri" w:hAnsi="Arial" w:cs="Arial"/>
                <w:b/>
                <w:iCs/>
                <w:sz w:val="20"/>
                <w:szCs w:val="20"/>
                <w:lang w:eastAsia="en-US"/>
              </w:rPr>
            </w:pPr>
          </w:p>
        </w:tc>
        <w:tc>
          <w:tcPr>
            <w:tcW w:w="1339" w:type="dxa"/>
            <w:vAlign w:val="center"/>
          </w:tcPr>
          <w:p w:rsidR="0024093B" w:rsidRPr="006D3A4C" w:rsidRDefault="0024093B" w:rsidP="0076705D">
            <w:pPr>
              <w:spacing w:after="200"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Αριθμός Εντύπου</w:t>
            </w:r>
          </w:p>
        </w:tc>
        <w:tc>
          <w:tcPr>
            <w:tcW w:w="1560" w:type="dxa"/>
            <w:vAlign w:val="center"/>
          </w:tcPr>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Υποβλήθηκε (√)</w:t>
            </w:r>
          </w:p>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Δεν εφαρμόζεται (Δ/Ε)</w:t>
            </w:r>
          </w:p>
        </w:tc>
        <w:tc>
          <w:tcPr>
            <w:tcW w:w="2409" w:type="dxa"/>
            <w:vAlign w:val="center"/>
          </w:tcPr>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Για επίσημη</w:t>
            </w:r>
          </w:p>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χρήση</w:t>
            </w:r>
          </w:p>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μόνο</w:t>
            </w: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1.</w:t>
            </w:r>
            <w:r w:rsidRPr="006D3A4C">
              <w:rPr>
                <w:rFonts w:ascii="Arial" w:eastAsia="Calibri" w:hAnsi="Arial" w:cs="Arial"/>
                <w:iCs/>
                <w:sz w:val="20"/>
                <w:szCs w:val="20"/>
                <w:lang w:eastAsia="en-US"/>
              </w:rPr>
              <w:t xml:space="preserve"> Βεβαίωση χρηματιστηριακής αγοράς ότι έχει υποβληθεί αίτηση για την εισαγωγή των μετοχών της Εταιρίας Επενδύσεων Μεταβλητού Κεφαλαίου προς διάθεση.</w:t>
            </w:r>
          </w:p>
        </w:tc>
        <w:tc>
          <w:tcPr>
            <w:tcW w:w="1339" w:type="dxa"/>
            <w:vAlign w:val="center"/>
          </w:tcPr>
          <w:p w:rsidR="0024093B" w:rsidRPr="000B5771" w:rsidRDefault="0024093B" w:rsidP="0076705D">
            <w:pPr>
              <w:spacing w:line="360" w:lineRule="auto"/>
              <w:jc w:val="center"/>
              <w:rPr>
                <w:rFonts w:ascii="Arial" w:eastAsia="Calibri" w:hAnsi="Arial" w:cs="Arial"/>
                <w:sz w:val="20"/>
                <w:szCs w:val="20"/>
                <w:lang w:val="en-US"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2.</w:t>
            </w:r>
            <w:r w:rsidRPr="006D3A4C">
              <w:rPr>
                <w:rFonts w:ascii="Arial" w:eastAsia="Calibri" w:hAnsi="Arial" w:cs="Arial"/>
                <w:iCs/>
                <w:sz w:val="20"/>
                <w:szCs w:val="20"/>
                <w:lang w:eastAsia="en-US"/>
              </w:rPr>
              <w:t xml:space="preserve"> Δήλωση της Εταιρίας Διαχείρισης ή της ίδιας της Εταιρίας Επενδύσεων Μεταβλητού Κεφαλαίου, εφόσον δεν έχει ορίσει Εταιρία Διαχείρισης, καθώς και του ελεγκτή της Εταιρίας Επενδύσεων Μεταβλητού Κεφαλαίου ότι: α) τουλάχιστον το 80% των μετοχών της θα διατίθεται μέσω χρηματιστηριακής αγοράς σύμφωνα με το άρθρο 35 (1) του Νόμου και β) ότι οι </w:t>
            </w:r>
            <w:proofErr w:type="spellStart"/>
            <w:r w:rsidRPr="006D3A4C">
              <w:rPr>
                <w:rFonts w:ascii="Arial" w:eastAsia="Calibri" w:hAnsi="Arial" w:cs="Arial"/>
                <w:iCs/>
                <w:sz w:val="20"/>
                <w:szCs w:val="20"/>
                <w:lang w:eastAsia="en-US"/>
              </w:rPr>
              <w:t>εξωχρηματιστηριακές</w:t>
            </w:r>
            <w:proofErr w:type="spellEnd"/>
            <w:r w:rsidRPr="006D3A4C">
              <w:rPr>
                <w:rFonts w:ascii="Arial" w:eastAsia="Calibri" w:hAnsi="Arial" w:cs="Arial"/>
                <w:iCs/>
                <w:sz w:val="20"/>
                <w:szCs w:val="20"/>
                <w:lang w:eastAsia="en-US"/>
              </w:rPr>
              <w:t xml:space="preserve"> συναλλαγές που θα πραγματοποιεί η Εταιρία Επενδύσεων Μεταβλητού Κεφαλαίου θα διενεργούνται μόνο σε τιμές της αγοράς, στην οποία θα έχουν </w:t>
            </w:r>
            <w:r w:rsidRPr="006D3A4C">
              <w:rPr>
                <w:rFonts w:ascii="Arial" w:eastAsia="Calibri" w:hAnsi="Arial" w:cs="Arial"/>
                <w:iCs/>
                <w:sz w:val="20"/>
                <w:szCs w:val="20"/>
                <w:lang w:eastAsia="en-US"/>
              </w:rPr>
              <w:lastRenderedPageBreak/>
              <w:t>εισαχθεί προς διάθεση οι μετοχές της.</w:t>
            </w:r>
          </w:p>
        </w:tc>
        <w:tc>
          <w:tcPr>
            <w:tcW w:w="1339" w:type="dxa"/>
            <w:vAlign w:val="center"/>
          </w:tcPr>
          <w:p w:rsidR="0024093B" w:rsidRPr="000B5771" w:rsidRDefault="0024093B" w:rsidP="0076705D">
            <w:pPr>
              <w:spacing w:line="360" w:lineRule="auto"/>
              <w:jc w:val="center"/>
              <w:rPr>
                <w:rFonts w:ascii="Arial" w:eastAsia="Calibri" w:hAnsi="Arial" w:cs="Arial"/>
                <w:sz w:val="20"/>
                <w:szCs w:val="20"/>
                <w:lang w:val="en-US"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lastRenderedPageBreak/>
              <w:t>3.</w:t>
            </w:r>
            <w:r w:rsidRPr="006D3A4C">
              <w:rPr>
                <w:rFonts w:ascii="Arial" w:eastAsia="Calibri" w:hAnsi="Arial" w:cs="Arial"/>
                <w:iCs/>
                <w:sz w:val="20"/>
                <w:szCs w:val="20"/>
                <w:lang w:eastAsia="en-US"/>
              </w:rPr>
              <w:t xml:space="preserve"> Τα στοιχεία του ελεγκτή (ονοματεπώνυμο, επαγγελματική ιδιότητα, διεύθυνση, ημερομηνία διορισμού), ο οποίος θα ασκεί τα καθήκοντα του άρθρου 35 (3) του Νόμου και της παραγράφου 12 της Οδηγίας </w:t>
            </w:r>
            <w:r w:rsidRPr="006D3A4C">
              <w:rPr>
                <w:rFonts w:ascii="Arial" w:eastAsia="Calibri" w:hAnsi="Arial" w:cs="Arial"/>
                <w:bCs/>
                <w:color w:val="000000"/>
                <w:sz w:val="20"/>
                <w:szCs w:val="20"/>
                <w:lang w:eastAsia="en-US"/>
              </w:rPr>
              <w:t>ΟΔ78-2012-07</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4.</w:t>
            </w:r>
            <w:r w:rsidRPr="006D3A4C">
              <w:rPr>
                <w:rFonts w:ascii="Arial" w:eastAsia="Calibri" w:hAnsi="Arial" w:cs="Arial"/>
                <w:iCs/>
                <w:sz w:val="20"/>
                <w:szCs w:val="20"/>
                <w:lang w:eastAsia="en-US"/>
              </w:rPr>
              <w:t xml:space="preserve"> Παράθεση των μέτρων</w:t>
            </w:r>
            <w:r w:rsidRPr="006D3A4C">
              <w:rPr>
                <w:rFonts w:ascii="Arial" w:eastAsia="Calibri" w:hAnsi="Arial" w:cs="Arial"/>
                <w:sz w:val="20"/>
                <w:szCs w:val="20"/>
                <w:lang w:eastAsia="en-US"/>
              </w:rPr>
              <w:t xml:space="preserve"> και διαδικασιών για τη διασφάλιση της τήρησης της υποχρέωσης διάθεσης των μετοχών της Εταιρίας Επενδύσεων Μεταβλητού Κεφαλαίου δια μέσου της αγοράς, στην οποία αυτές θα έχουν εισαχθεί προς διαπραγμάτευση σε ποσοστό 80% και διενέργειας των </w:t>
            </w:r>
            <w:proofErr w:type="spellStart"/>
            <w:r w:rsidRPr="006D3A4C">
              <w:rPr>
                <w:rFonts w:ascii="Arial" w:eastAsia="Calibri" w:hAnsi="Arial" w:cs="Arial"/>
                <w:sz w:val="20"/>
                <w:szCs w:val="20"/>
                <w:lang w:eastAsia="en-US"/>
              </w:rPr>
              <w:t>εξωχρηματιστηριακών</w:t>
            </w:r>
            <w:proofErr w:type="spellEnd"/>
            <w:r w:rsidRPr="006D3A4C">
              <w:rPr>
                <w:rFonts w:ascii="Arial" w:eastAsia="Calibri" w:hAnsi="Arial" w:cs="Arial"/>
                <w:sz w:val="20"/>
                <w:szCs w:val="20"/>
                <w:lang w:eastAsia="en-US"/>
              </w:rPr>
              <w:t xml:space="preserve"> συναλλαγών των μετοχών της Εταιρίας Επενδύσεων Μεταβλητού Κεφαλαίου, αποκλειστικά σε τιμές της αγοράς στην οποία έχουν θα εισαχθεί προς διαπραγμάτευση.</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 xml:space="preserve">5. </w:t>
            </w:r>
            <w:r w:rsidRPr="006D3A4C">
              <w:rPr>
                <w:rFonts w:ascii="Arial" w:eastAsia="Calibri" w:hAnsi="Arial" w:cs="Arial"/>
                <w:sz w:val="20"/>
                <w:szCs w:val="20"/>
                <w:lang w:eastAsia="en-US"/>
              </w:rPr>
              <w:t>Σε περίπτωση Εταιρίας Επενδύσεων Μεταβλητού Κεφαλαίου που έχει ορίσει Εταιρία Διαχείρισης εγκατεστημένη σε κράτος μέλος άλλο από τη Δημοκρατία, τ</w:t>
            </w:r>
            <w:r w:rsidRPr="006D3A4C">
              <w:rPr>
                <w:rFonts w:ascii="Arial" w:eastAsia="Calibri" w:hAnsi="Arial" w:cs="Arial"/>
                <w:iCs/>
                <w:sz w:val="20"/>
                <w:szCs w:val="20"/>
                <w:lang w:eastAsia="en-US"/>
              </w:rPr>
              <w:t>ην έ</w:t>
            </w:r>
            <w:r w:rsidRPr="006D3A4C">
              <w:rPr>
                <w:rFonts w:ascii="Arial" w:eastAsia="Calibri" w:hAnsi="Arial" w:cs="Arial"/>
                <w:sz w:val="20"/>
                <w:szCs w:val="20"/>
                <w:lang w:eastAsia="en-US"/>
              </w:rPr>
              <w:t xml:space="preserve">γγραφη συμφωνία που προβλέπεται στην παράγραφο 12 (5) της Οδηγίας </w:t>
            </w:r>
            <w:r w:rsidRPr="006D3A4C">
              <w:rPr>
                <w:rFonts w:ascii="Arial" w:eastAsia="Calibri" w:hAnsi="Arial" w:cs="Arial"/>
                <w:bCs/>
                <w:color w:val="000000"/>
                <w:sz w:val="20"/>
                <w:szCs w:val="20"/>
                <w:lang w:eastAsia="en-US"/>
              </w:rPr>
              <w:t>ΟΔ78-2012-07</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b/>
                <w:iCs/>
                <w:sz w:val="20"/>
                <w:szCs w:val="20"/>
                <w:lang w:eastAsia="en-US"/>
              </w:rPr>
            </w:pPr>
            <w:r w:rsidRPr="006D3A4C">
              <w:rPr>
                <w:rFonts w:ascii="Arial" w:eastAsia="Calibri" w:hAnsi="Arial" w:cs="Arial"/>
                <w:b/>
                <w:iCs/>
                <w:sz w:val="20"/>
                <w:szCs w:val="20"/>
                <w:lang w:eastAsia="en-US"/>
              </w:rPr>
              <w:t xml:space="preserve">6. </w:t>
            </w:r>
            <w:r w:rsidRPr="006D3A4C">
              <w:rPr>
                <w:rFonts w:ascii="Arial" w:eastAsia="Calibri" w:hAnsi="Arial" w:cs="Arial"/>
                <w:iCs/>
                <w:sz w:val="20"/>
                <w:szCs w:val="20"/>
                <w:lang w:eastAsia="en-US"/>
              </w:rPr>
              <w:t>Τα στοιχεία των προσώπων στα οποία θα κατατεθούν προς φύλαξη τα στοιχεία του ενεργητικού της Εταιρίας Επενδύσεων Μεταβλητού Κεφαλαίου (τα στοιχεία που δίνονται είναι αυτά που αναφέρονται στα σημεία Β1, Β2 και Β3 του Μέρους Β του Εντύπου Ε78-2012-06 ή  στις παραγράφους 9.4.1, 9.4.2 και 9.4.3 του Εντύπου Ε78-2012-07, κατά περίπτωση).</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 xml:space="preserve">7. </w:t>
            </w:r>
            <w:r w:rsidRPr="006D3A4C">
              <w:rPr>
                <w:rFonts w:ascii="Arial" w:eastAsia="Calibri" w:hAnsi="Arial" w:cs="Arial"/>
                <w:iCs/>
                <w:sz w:val="20"/>
                <w:szCs w:val="20"/>
                <w:lang w:eastAsia="en-US"/>
              </w:rPr>
              <w:t xml:space="preserve">Τη σύμβαση μεταξύ της Εταιρίας Επενδύσεων Μεταβλητού Κεφαλαίου και του Ειδικού Διαπραγματευτή σύμφωνα με την παράγραφο 15 της Οδηγίας </w:t>
            </w:r>
            <w:r w:rsidRPr="006D3A4C">
              <w:rPr>
                <w:rFonts w:ascii="Arial" w:eastAsia="Calibri" w:hAnsi="Arial" w:cs="Arial"/>
                <w:bCs/>
                <w:color w:val="000000"/>
                <w:sz w:val="20"/>
                <w:szCs w:val="20"/>
                <w:lang w:eastAsia="en-US"/>
              </w:rPr>
              <w:t>ΟΔ78-2012-07</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bl>
    <w:p w:rsidR="0024093B" w:rsidRPr="006D3A4C" w:rsidRDefault="0024093B" w:rsidP="0024093B">
      <w:pPr>
        <w:spacing w:after="200" w:line="276" w:lineRule="auto"/>
        <w:jc w:val="right"/>
        <w:rPr>
          <w:rFonts w:ascii="Arial" w:eastAsia="Calibri" w:hAnsi="Arial" w:cs="Arial"/>
          <w:sz w:val="20"/>
          <w:szCs w:val="20"/>
          <w:lang w:eastAsia="en-US"/>
        </w:rPr>
      </w:pPr>
    </w:p>
    <w:p w:rsidR="0024093B" w:rsidRPr="006D3A4C" w:rsidRDefault="0024093B" w:rsidP="0024093B">
      <w:pPr>
        <w:spacing w:after="200" w:line="276" w:lineRule="auto"/>
        <w:jc w:val="both"/>
        <w:rPr>
          <w:rFonts w:ascii="Arial" w:eastAsia="Calibri" w:hAnsi="Arial" w:cs="Arial"/>
          <w:b/>
          <w:caps/>
          <w:sz w:val="20"/>
          <w:szCs w:val="20"/>
          <w:lang w:eastAsia="en-US"/>
        </w:rPr>
      </w:pPr>
    </w:p>
    <w:p w:rsidR="0024093B" w:rsidRPr="006D3A4C" w:rsidRDefault="0024093B" w:rsidP="0024093B">
      <w:pPr>
        <w:spacing w:after="200" w:line="276" w:lineRule="auto"/>
        <w:jc w:val="both"/>
        <w:rPr>
          <w:rFonts w:ascii="Arial" w:eastAsia="Calibri" w:hAnsi="Arial" w:cs="Arial"/>
          <w:b/>
          <w:caps/>
          <w:sz w:val="20"/>
          <w:szCs w:val="20"/>
          <w:lang w:eastAsia="en-US"/>
        </w:rPr>
      </w:pPr>
    </w:p>
    <w:p w:rsidR="0024093B" w:rsidRPr="006D3A4C" w:rsidRDefault="0024093B" w:rsidP="0024093B">
      <w:pPr>
        <w:spacing w:after="200" w:line="276" w:lineRule="auto"/>
        <w:jc w:val="both"/>
        <w:rPr>
          <w:rFonts w:ascii="Arial" w:eastAsia="Calibri" w:hAnsi="Arial" w:cs="Arial"/>
          <w:b/>
          <w:sz w:val="20"/>
          <w:szCs w:val="20"/>
          <w:lang w:eastAsia="en-US"/>
        </w:rPr>
      </w:pPr>
      <w:proofErr w:type="gramStart"/>
      <w:r w:rsidRPr="006D3A4C">
        <w:rPr>
          <w:rFonts w:ascii="Arial" w:eastAsia="Calibri" w:hAnsi="Arial" w:cs="Arial"/>
          <w:b/>
          <w:sz w:val="20"/>
          <w:szCs w:val="20"/>
          <w:lang w:val="en-US" w:eastAsia="en-US"/>
        </w:rPr>
        <w:lastRenderedPageBreak/>
        <w:t>I</w:t>
      </w:r>
      <w:r w:rsidRPr="006D3A4C">
        <w:rPr>
          <w:rFonts w:ascii="Arial" w:eastAsia="Calibri" w:hAnsi="Arial" w:cs="Arial"/>
          <w:b/>
          <w:sz w:val="20"/>
          <w:szCs w:val="20"/>
          <w:lang w:eastAsia="en-US"/>
        </w:rPr>
        <w:t>Ι.</w:t>
      </w:r>
      <w:proofErr w:type="gramEnd"/>
      <w:r w:rsidRPr="006D3A4C">
        <w:rPr>
          <w:rFonts w:ascii="Arial" w:eastAsia="Calibri" w:hAnsi="Arial" w:cs="Arial"/>
          <w:b/>
          <w:sz w:val="20"/>
          <w:szCs w:val="20"/>
          <w:lang w:eastAsia="en-US"/>
        </w:rPr>
        <w:t xml:space="preserve"> </w:t>
      </w:r>
      <w:r w:rsidRPr="006D3A4C">
        <w:rPr>
          <w:rFonts w:ascii="Arial" w:eastAsia="Calibri" w:hAnsi="Arial" w:cs="Arial"/>
          <w:b/>
          <w:caps/>
          <w:sz w:val="20"/>
          <w:szCs w:val="20"/>
          <w:lang w:eastAsia="en-US"/>
        </w:rPr>
        <w:t>Εταιρία Επενδύσεων Μεταβλητού Κεφαλαίου που αιτείται την εξαίρεση από την υποχρέωσή της για διορισμό Θεματοφύλακα ΣΥΜΦΩΝΑ ΜΕ ΤΟ ΑΡΘΡΟ 35 (4) ΤΟΥ ΝΟΜΟΥ.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1339"/>
        <w:gridCol w:w="1560"/>
        <w:gridCol w:w="2409"/>
      </w:tblGrid>
      <w:tr w:rsidR="0024093B" w:rsidRPr="006D3A4C" w:rsidTr="0076705D">
        <w:tc>
          <w:tcPr>
            <w:tcW w:w="4473" w:type="dxa"/>
            <w:vAlign w:val="center"/>
          </w:tcPr>
          <w:p w:rsidR="0024093B" w:rsidRPr="006D3A4C" w:rsidRDefault="0024093B" w:rsidP="0076705D">
            <w:pPr>
              <w:tabs>
                <w:tab w:val="left" w:pos="1200"/>
              </w:tabs>
              <w:spacing w:after="200" w:line="360" w:lineRule="auto"/>
              <w:ind w:left="-100"/>
              <w:jc w:val="center"/>
              <w:rPr>
                <w:rFonts w:ascii="Arial" w:eastAsia="Calibri" w:hAnsi="Arial" w:cs="Arial"/>
                <w:b/>
                <w:iCs/>
                <w:sz w:val="20"/>
                <w:szCs w:val="20"/>
                <w:lang w:eastAsia="en-US"/>
              </w:rPr>
            </w:pPr>
            <w:r w:rsidRPr="006D3A4C">
              <w:rPr>
                <w:rFonts w:ascii="Arial" w:eastAsia="Calibri" w:hAnsi="Arial" w:cs="Arial"/>
                <w:b/>
                <w:iCs/>
                <w:sz w:val="20"/>
                <w:szCs w:val="20"/>
                <w:lang w:eastAsia="en-US"/>
              </w:rPr>
              <w:t>Συνοδευτικά στοιχεία αίτησης</w:t>
            </w:r>
          </w:p>
          <w:p w:rsidR="0024093B" w:rsidRPr="006D3A4C" w:rsidRDefault="0024093B" w:rsidP="0076705D">
            <w:pPr>
              <w:tabs>
                <w:tab w:val="left" w:pos="1200"/>
              </w:tabs>
              <w:spacing w:after="200" w:line="360" w:lineRule="auto"/>
              <w:ind w:left="-100"/>
              <w:jc w:val="center"/>
              <w:rPr>
                <w:rFonts w:ascii="Arial" w:eastAsia="Calibri" w:hAnsi="Arial" w:cs="Arial"/>
                <w:b/>
                <w:iCs/>
                <w:sz w:val="20"/>
                <w:szCs w:val="20"/>
                <w:lang w:eastAsia="en-US"/>
              </w:rPr>
            </w:pPr>
          </w:p>
        </w:tc>
        <w:tc>
          <w:tcPr>
            <w:tcW w:w="1339" w:type="dxa"/>
            <w:vAlign w:val="center"/>
          </w:tcPr>
          <w:p w:rsidR="0024093B" w:rsidRPr="006D3A4C" w:rsidRDefault="0024093B" w:rsidP="0076705D">
            <w:pPr>
              <w:spacing w:after="200"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Αριθμός Εντύπου</w:t>
            </w:r>
          </w:p>
        </w:tc>
        <w:tc>
          <w:tcPr>
            <w:tcW w:w="1560" w:type="dxa"/>
            <w:vAlign w:val="center"/>
          </w:tcPr>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Υποβλήθηκε (√)</w:t>
            </w:r>
          </w:p>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Δεν εφαρμόζεται (Δ/Ε)</w:t>
            </w:r>
          </w:p>
        </w:tc>
        <w:tc>
          <w:tcPr>
            <w:tcW w:w="2409" w:type="dxa"/>
            <w:vAlign w:val="center"/>
          </w:tcPr>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Για επίσημη</w:t>
            </w:r>
          </w:p>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χρήση</w:t>
            </w:r>
          </w:p>
          <w:p w:rsidR="0024093B" w:rsidRPr="006D3A4C" w:rsidRDefault="0024093B" w:rsidP="0076705D">
            <w:pPr>
              <w:spacing w:line="276" w:lineRule="auto"/>
              <w:jc w:val="center"/>
              <w:rPr>
                <w:rFonts w:ascii="Arial" w:eastAsia="Calibri" w:hAnsi="Arial" w:cs="Arial"/>
                <w:b/>
                <w:sz w:val="20"/>
                <w:szCs w:val="20"/>
                <w:lang w:eastAsia="en-US"/>
              </w:rPr>
            </w:pPr>
            <w:r w:rsidRPr="006D3A4C">
              <w:rPr>
                <w:rFonts w:ascii="Arial" w:eastAsia="Calibri" w:hAnsi="Arial" w:cs="Arial"/>
                <w:b/>
                <w:sz w:val="20"/>
                <w:szCs w:val="20"/>
                <w:lang w:eastAsia="en-US"/>
              </w:rPr>
              <w:t>μόνο</w:t>
            </w: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1.</w:t>
            </w:r>
            <w:r w:rsidRPr="006D3A4C">
              <w:rPr>
                <w:rFonts w:ascii="Arial" w:eastAsia="Calibri" w:hAnsi="Arial" w:cs="Arial"/>
                <w:iCs/>
                <w:sz w:val="20"/>
                <w:szCs w:val="20"/>
                <w:lang w:eastAsia="en-US"/>
              </w:rPr>
              <w:t xml:space="preserve"> Βεβαίωση χρηματιστηριακής αγοράς ότι έχει υποβληθεί αίτηση για την εισαγωγή των μετοχών της Εταιρίας Επενδύσεων Μεταβλητού Κεφαλαίου προς διάθεση.</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bookmarkStart w:id="0" w:name="_GoBack"/>
            <w:bookmarkEnd w:id="0"/>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2.</w:t>
            </w:r>
            <w:r w:rsidRPr="006D3A4C">
              <w:rPr>
                <w:rFonts w:ascii="Arial" w:eastAsia="Calibri" w:hAnsi="Arial" w:cs="Arial"/>
                <w:iCs/>
                <w:sz w:val="20"/>
                <w:szCs w:val="20"/>
                <w:lang w:eastAsia="en-US"/>
              </w:rPr>
              <w:t xml:space="preserve"> Δήλωση της Εταιρίας Διαχείρισης ή της ίδιας της Εταιρίας Επενδύσεων Μεταβλητού Κεφαλαίου, εφόσον δεν έχει ορίσει Εταιρία Διαχείρισης, καθώς και του ελεγκτή της Εταιρίας Επενδύσεων Μεταβλητού Κεφαλαίου ότι οι μετοχές της θα διατίθενται αποκλειστικά δια μέσου χρηματιστηριακής αγοράς σύμφωνα με το άρθρο 35 (4) του Νόμου.</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3.</w:t>
            </w:r>
            <w:r w:rsidRPr="006D3A4C">
              <w:rPr>
                <w:rFonts w:ascii="Arial" w:eastAsia="Calibri" w:hAnsi="Arial" w:cs="Arial"/>
                <w:iCs/>
                <w:sz w:val="20"/>
                <w:szCs w:val="20"/>
                <w:lang w:eastAsia="en-US"/>
              </w:rPr>
              <w:t xml:space="preserve"> Τα στοιχεία του ελεγκτή (ονοματεπώνυμο, επαγγελματική ιδιότητα, διεύθυνση, ημερομηνία διορισμού), ο οποίος θα ασκεί τα καθήκοντα του άρθρου 35 (3) του Νόμου και της παραγράφου 12 της Οδηγίας </w:t>
            </w:r>
            <w:r w:rsidRPr="006D3A4C">
              <w:rPr>
                <w:rFonts w:ascii="Arial" w:eastAsia="Calibri" w:hAnsi="Arial" w:cs="Arial"/>
                <w:bCs/>
                <w:color w:val="000000"/>
                <w:sz w:val="20"/>
                <w:szCs w:val="20"/>
                <w:lang w:eastAsia="en-US"/>
              </w:rPr>
              <w:t>ΟΔ78-2012-07</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4.</w:t>
            </w:r>
            <w:r w:rsidRPr="006D3A4C">
              <w:rPr>
                <w:rFonts w:ascii="Arial" w:eastAsia="Calibri" w:hAnsi="Arial" w:cs="Arial"/>
                <w:iCs/>
                <w:sz w:val="20"/>
                <w:szCs w:val="20"/>
                <w:lang w:eastAsia="en-US"/>
              </w:rPr>
              <w:t xml:space="preserve"> Παράθεση των μέτρων</w:t>
            </w:r>
            <w:r w:rsidRPr="006D3A4C">
              <w:rPr>
                <w:rFonts w:ascii="Arial" w:eastAsia="Calibri" w:hAnsi="Arial" w:cs="Arial"/>
                <w:sz w:val="20"/>
                <w:szCs w:val="20"/>
                <w:lang w:eastAsia="en-US"/>
              </w:rPr>
              <w:t xml:space="preserve"> και διαδικασιών για τη διασφάλιση της τήρησης της υποχρέωσης διάθεσης του συνόλου των μετοχών της Εταιρίας Επενδύσεων Μεταβλητού Κεφαλαίου δια μέσου της αγοράς, στην οποία αυτές θα έχουν εισαχθεί προς διαπραγμάτευση.</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t xml:space="preserve">5. </w:t>
            </w:r>
            <w:r w:rsidRPr="006D3A4C">
              <w:rPr>
                <w:rFonts w:ascii="Arial" w:eastAsia="Calibri" w:hAnsi="Arial" w:cs="Arial"/>
                <w:sz w:val="20"/>
                <w:szCs w:val="20"/>
                <w:lang w:eastAsia="en-US"/>
              </w:rPr>
              <w:t>Σε περίπτωση Εταιρίας Επενδύσεων Μεταβλητού Κεφαλαίου που έχει ορίσει Εταιρία Διαχείρισης εγκατεστημένη σε κράτος μέλος άλλο από τη Δημοκρατία, τ</w:t>
            </w:r>
            <w:r w:rsidRPr="006D3A4C">
              <w:rPr>
                <w:rFonts w:ascii="Arial" w:eastAsia="Calibri" w:hAnsi="Arial" w:cs="Arial"/>
                <w:iCs/>
                <w:sz w:val="20"/>
                <w:szCs w:val="20"/>
                <w:lang w:eastAsia="en-US"/>
              </w:rPr>
              <w:t>ην έ</w:t>
            </w:r>
            <w:r w:rsidRPr="006D3A4C">
              <w:rPr>
                <w:rFonts w:ascii="Arial" w:eastAsia="Calibri" w:hAnsi="Arial" w:cs="Arial"/>
                <w:sz w:val="20"/>
                <w:szCs w:val="20"/>
                <w:lang w:eastAsia="en-US"/>
              </w:rPr>
              <w:t>γγραφη συμφωνία που προβλέπεται στην παράγραφο 12 (5) της Οδηγίας</w:t>
            </w:r>
            <w:r w:rsidRPr="006D3A4C">
              <w:rPr>
                <w:rFonts w:ascii="Arial" w:eastAsia="Calibri" w:hAnsi="Arial" w:cs="Arial"/>
                <w:bCs/>
                <w:color w:val="000000"/>
                <w:sz w:val="20"/>
                <w:szCs w:val="20"/>
                <w:lang w:eastAsia="en-US"/>
              </w:rPr>
              <w:t xml:space="preserve"> ΟΔ78-2012-07</w:t>
            </w:r>
            <w:r w:rsidRPr="006D3A4C">
              <w:rPr>
                <w:rFonts w:ascii="Arial" w:eastAsia="Calibri" w:hAnsi="Arial" w:cs="Arial"/>
                <w:sz w:val="20"/>
                <w:szCs w:val="20"/>
                <w:lang w:eastAsia="en-US"/>
              </w:rPr>
              <w:t xml:space="preserve"> </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b/>
                <w:iCs/>
                <w:strike/>
                <w:sz w:val="20"/>
                <w:szCs w:val="20"/>
                <w:lang w:eastAsia="en-US"/>
              </w:rPr>
            </w:pPr>
            <w:r w:rsidRPr="006D3A4C">
              <w:rPr>
                <w:rFonts w:ascii="Arial" w:eastAsia="Calibri" w:hAnsi="Arial" w:cs="Arial"/>
                <w:b/>
                <w:iCs/>
                <w:sz w:val="20"/>
                <w:szCs w:val="20"/>
                <w:lang w:eastAsia="en-US"/>
              </w:rPr>
              <w:t xml:space="preserve">6. </w:t>
            </w:r>
            <w:r w:rsidRPr="006D3A4C">
              <w:rPr>
                <w:rFonts w:ascii="Arial" w:eastAsia="Calibri" w:hAnsi="Arial" w:cs="Arial"/>
                <w:iCs/>
                <w:sz w:val="20"/>
                <w:szCs w:val="20"/>
                <w:lang w:eastAsia="en-US"/>
              </w:rPr>
              <w:t xml:space="preserve">Τα στοιχεία των προσώπων στα οποία θα κατατεθούν προς φύλαξη τα στοιχεία του ενεργητικού της Εταιρίας Επενδύσεων Μεταβλητού Κεφαλαίου (τα στοιχεία που δίνονται </w:t>
            </w:r>
            <w:r w:rsidRPr="006D3A4C">
              <w:rPr>
                <w:rFonts w:ascii="Arial" w:eastAsia="Calibri" w:hAnsi="Arial" w:cs="Arial"/>
                <w:iCs/>
                <w:sz w:val="20"/>
                <w:szCs w:val="20"/>
                <w:lang w:eastAsia="en-US"/>
              </w:rPr>
              <w:lastRenderedPageBreak/>
              <w:t>είναι αυτά που αναφέρονται στα σημεία Β1, Β2 και Β3 του Μέρους Β του Εντύπου Ε78-2012-06 ή  στις παραγράφους 9.4.1, 9.4.2 και 9.4.3 του Εντύπου  Ε78-2012-07, κατά περίπτωση).</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r w:rsidR="0024093B" w:rsidRPr="006D3A4C" w:rsidTr="0076705D">
        <w:tc>
          <w:tcPr>
            <w:tcW w:w="4473" w:type="dxa"/>
            <w:vAlign w:val="center"/>
          </w:tcPr>
          <w:p w:rsidR="0024093B" w:rsidRPr="006D3A4C" w:rsidRDefault="0024093B" w:rsidP="0076705D">
            <w:pPr>
              <w:tabs>
                <w:tab w:val="left" w:pos="1200"/>
              </w:tabs>
              <w:spacing w:line="360" w:lineRule="auto"/>
              <w:ind w:left="-100"/>
              <w:jc w:val="both"/>
              <w:rPr>
                <w:rFonts w:ascii="Arial" w:eastAsia="Calibri" w:hAnsi="Arial" w:cs="Arial"/>
                <w:iCs/>
                <w:sz w:val="20"/>
                <w:szCs w:val="20"/>
                <w:lang w:eastAsia="en-US"/>
              </w:rPr>
            </w:pPr>
            <w:r w:rsidRPr="006D3A4C">
              <w:rPr>
                <w:rFonts w:ascii="Arial" w:eastAsia="Calibri" w:hAnsi="Arial" w:cs="Arial"/>
                <w:b/>
                <w:iCs/>
                <w:sz w:val="20"/>
                <w:szCs w:val="20"/>
                <w:lang w:eastAsia="en-US"/>
              </w:rPr>
              <w:lastRenderedPageBreak/>
              <w:t xml:space="preserve">7. </w:t>
            </w:r>
            <w:r w:rsidRPr="006D3A4C">
              <w:rPr>
                <w:rFonts w:ascii="Arial" w:eastAsia="Calibri" w:hAnsi="Arial" w:cs="Arial"/>
                <w:iCs/>
                <w:sz w:val="20"/>
                <w:szCs w:val="20"/>
                <w:lang w:eastAsia="en-US"/>
              </w:rPr>
              <w:t xml:space="preserve">Τη σύμβαση μεταξύ της Εταιρίας Επενδύσεων Μεταβλητού Κεφαλαίου και του Ειδικού Διαπραγματευτή σύμφωνα με την παράγραφο 15 της Οδηγίας </w:t>
            </w:r>
            <w:r w:rsidRPr="006D3A4C">
              <w:rPr>
                <w:rFonts w:ascii="Arial" w:eastAsia="Calibri" w:hAnsi="Arial" w:cs="Arial"/>
                <w:bCs/>
                <w:color w:val="000000"/>
                <w:sz w:val="20"/>
                <w:szCs w:val="20"/>
                <w:lang w:eastAsia="en-US"/>
              </w:rPr>
              <w:t>ΟΔ78-2012-07</w:t>
            </w:r>
          </w:p>
        </w:tc>
        <w:tc>
          <w:tcPr>
            <w:tcW w:w="133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1560"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c>
          <w:tcPr>
            <w:tcW w:w="2409" w:type="dxa"/>
            <w:vAlign w:val="center"/>
          </w:tcPr>
          <w:p w:rsidR="0024093B" w:rsidRPr="006D3A4C" w:rsidRDefault="0024093B" w:rsidP="0076705D">
            <w:pPr>
              <w:spacing w:line="360" w:lineRule="auto"/>
              <w:jc w:val="center"/>
              <w:rPr>
                <w:rFonts w:ascii="Arial" w:eastAsia="Calibri" w:hAnsi="Arial" w:cs="Arial"/>
                <w:sz w:val="20"/>
                <w:szCs w:val="20"/>
                <w:lang w:eastAsia="en-US"/>
              </w:rPr>
            </w:pPr>
          </w:p>
        </w:tc>
      </w:tr>
    </w:tbl>
    <w:p w:rsidR="0024093B" w:rsidRPr="006D3A4C" w:rsidRDefault="0024093B" w:rsidP="0024093B">
      <w:pPr>
        <w:spacing w:after="200" w:line="276" w:lineRule="auto"/>
        <w:jc w:val="both"/>
        <w:rPr>
          <w:rFonts w:ascii="Arial" w:eastAsia="Calibri" w:hAnsi="Arial" w:cs="Arial"/>
          <w:b/>
          <w:sz w:val="20"/>
          <w:szCs w:val="20"/>
          <w:lang w:eastAsia="en-US"/>
        </w:rPr>
      </w:pPr>
    </w:p>
    <w:p w:rsidR="0024093B" w:rsidRPr="006D3A4C" w:rsidRDefault="0024093B" w:rsidP="0024093B">
      <w:pPr>
        <w:tabs>
          <w:tab w:val="left" w:pos="360"/>
        </w:tabs>
        <w:spacing w:after="200" w:line="360" w:lineRule="auto"/>
        <w:rPr>
          <w:rFonts w:ascii="Arial" w:eastAsia="Calibri" w:hAnsi="Arial" w:cs="Arial"/>
          <w:sz w:val="20"/>
          <w:szCs w:val="20"/>
          <w:lang w:eastAsia="en-US"/>
        </w:rPr>
      </w:pPr>
    </w:p>
    <w:p w:rsidR="0024093B" w:rsidRPr="006D3A4C" w:rsidRDefault="0024093B" w:rsidP="0024093B">
      <w:pPr>
        <w:tabs>
          <w:tab w:val="left" w:pos="360"/>
        </w:tabs>
        <w:spacing w:after="200" w:line="360" w:lineRule="auto"/>
        <w:rPr>
          <w:rFonts w:ascii="Arial" w:eastAsia="Calibri" w:hAnsi="Arial" w:cs="Arial"/>
          <w:sz w:val="20"/>
          <w:szCs w:val="20"/>
          <w:lang w:eastAsia="en-US"/>
        </w:rPr>
      </w:pPr>
    </w:p>
    <w:p w:rsidR="0024093B" w:rsidRPr="006D3A4C" w:rsidRDefault="0024093B" w:rsidP="0024093B">
      <w:pPr>
        <w:tabs>
          <w:tab w:val="left" w:pos="360"/>
        </w:tabs>
        <w:spacing w:after="200" w:line="360" w:lineRule="auto"/>
        <w:rPr>
          <w:rFonts w:ascii="Arial" w:eastAsia="Calibri" w:hAnsi="Arial" w:cs="Arial"/>
          <w:sz w:val="20"/>
          <w:szCs w:val="20"/>
          <w:lang w:eastAsia="en-US"/>
        </w:rPr>
      </w:pPr>
    </w:p>
    <w:p w:rsidR="0024093B" w:rsidRDefault="0024093B" w:rsidP="0024093B">
      <w:pPr>
        <w:tabs>
          <w:tab w:val="left" w:pos="360"/>
        </w:tabs>
        <w:spacing w:after="200" w:line="360" w:lineRule="auto"/>
        <w:rPr>
          <w:rFonts w:ascii="Arial" w:eastAsia="Calibri" w:hAnsi="Arial" w:cs="Arial"/>
          <w:sz w:val="20"/>
          <w:szCs w:val="20"/>
          <w:lang w:eastAsia="en-US"/>
        </w:rPr>
      </w:pPr>
    </w:p>
    <w:p w:rsidR="0024093B" w:rsidRDefault="0024093B" w:rsidP="0024093B">
      <w:pPr>
        <w:tabs>
          <w:tab w:val="left" w:pos="360"/>
        </w:tabs>
        <w:spacing w:after="200" w:line="360" w:lineRule="auto"/>
        <w:rPr>
          <w:rFonts w:ascii="Arial" w:eastAsia="Calibri" w:hAnsi="Arial" w:cs="Arial"/>
          <w:sz w:val="20"/>
          <w:szCs w:val="20"/>
          <w:lang w:eastAsia="en-US"/>
        </w:rPr>
      </w:pPr>
    </w:p>
    <w:p w:rsidR="0024093B" w:rsidRDefault="0024093B" w:rsidP="0024093B">
      <w:pPr>
        <w:tabs>
          <w:tab w:val="left" w:pos="360"/>
        </w:tabs>
        <w:spacing w:after="200" w:line="360" w:lineRule="auto"/>
        <w:rPr>
          <w:rFonts w:ascii="Arial" w:eastAsia="Calibri" w:hAnsi="Arial" w:cs="Arial"/>
          <w:sz w:val="20"/>
          <w:szCs w:val="20"/>
          <w:lang w:eastAsia="en-US"/>
        </w:rPr>
      </w:pPr>
    </w:p>
    <w:p w:rsidR="0024093B" w:rsidRPr="006D3A4C" w:rsidRDefault="0024093B" w:rsidP="0024093B">
      <w:pPr>
        <w:tabs>
          <w:tab w:val="left" w:pos="360"/>
        </w:tabs>
        <w:spacing w:after="200" w:line="360" w:lineRule="auto"/>
        <w:rPr>
          <w:rFonts w:ascii="Arial" w:eastAsia="Calibri" w:hAnsi="Arial" w:cs="Arial"/>
          <w:sz w:val="20"/>
          <w:szCs w:val="20"/>
          <w:lang w:eastAsia="en-US"/>
        </w:rPr>
      </w:pPr>
    </w:p>
    <w:p w:rsidR="0024093B" w:rsidRDefault="0024093B" w:rsidP="0024093B">
      <w:pPr>
        <w:tabs>
          <w:tab w:val="left" w:pos="360"/>
        </w:tabs>
        <w:spacing w:after="200" w:line="360" w:lineRule="auto"/>
        <w:rPr>
          <w:rFonts w:ascii="Arial" w:eastAsia="Calibri" w:hAnsi="Arial" w:cs="Arial"/>
          <w:sz w:val="20"/>
          <w:szCs w:val="20"/>
          <w:lang w:eastAsia="en-US"/>
        </w:rPr>
      </w:pPr>
    </w:p>
    <w:p w:rsidR="007A5ADF" w:rsidRDefault="007A5ADF"/>
    <w:sectPr w:rsidR="007A5A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3B"/>
    <w:rsid w:val="0009782A"/>
    <w:rsid w:val="000B5771"/>
    <w:rsid w:val="0024093B"/>
    <w:rsid w:val="00626525"/>
    <w:rsid w:val="006D75FF"/>
    <w:rsid w:val="007A5ADF"/>
    <w:rsid w:val="00ED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93B"/>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93B"/>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6</cp:revision>
  <dcterms:created xsi:type="dcterms:W3CDTF">2012-11-02T13:25:00Z</dcterms:created>
  <dcterms:modified xsi:type="dcterms:W3CDTF">2012-11-05T08:23:00Z</dcterms:modified>
</cp:coreProperties>
</file>