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B0" w:rsidRPr="006B1FA7" w:rsidRDefault="00B563BF" w:rsidP="00B563BF">
      <w:pPr>
        <w:jc w:val="right"/>
        <w:rPr>
          <w:rFonts w:cstheme="minorHAnsi"/>
          <w:sz w:val="24"/>
          <w:szCs w:val="24"/>
          <w:lang w:val="el-GR"/>
        </w:rPr>
      </w:pPr>
      <w:r>
        <w:rPr>
          <w:rFonts w:cstheme="minorHAnsi"/>
          <w:sz w:val="24"/>
          <w:szCs w:val="24"/>
        </w:rPr>
        <w:t>C</w:t>
      </w:r>
      <w:r w:rsidRPr="00B563BF">
        <w:rPr>
          <w:rFonts w:cstheme="minorHAnsi"/>
          <w:sz w:val="24"/>
          <w:szCs w:val="24"/>
        </w:rPr>
        <w:t>hecklist</w:t>
      </w:r>
      <w:r w:rsidRPr="00B563BF">
        <w:rPr>
          <w:rFonts w:cstheme="minorHAnsi"/>
          <w:sz w:val="24"/>
          <w:szCs w:val="24"/>
          <w:lang w:val="el-GR"/>
        </w:rPr>
        <w:t>-</w:t>
      </w:r>
      <w:r w:rsidRPr="00B563BF">
        <w:rPr>
          <w:rFonts w:cstheme="minorHAnsi"/>
          <w:sz w:val="24"/>
          <w:szCs w:val="24"/>
        </w:rPr>
        <w:t>E</w:t>
      </w:r>
      <w:r>
        <w:rPr>
          <w:rFonts w:cstheme="minorHAnsi"/>
          <w:sz w:val="24"/>
          <w:szCs w:val="24"/>
          <w:lang w:val="el-GR"/>
        </w:rPr>
        <w:t>78-2012-0</w:t>
      </w:r>
      <w:r w:rsidRPr="006B1FA7">
        <w:rPr>
          <w:rFonts w:cstheme="minorHAnsi"/>
          <w:sz w:val="24"/>
          <w:szCs w:val="24"/>
          <w:lang w:val="el-GR"/>
        </w:rPr>
        <w:t>4</w:t>
      </w:r>
    </w:p>
    <w:p w:rsidR="00C529BB" w:rsidRPr="000401D0" w:rsidRDefault="00C529BB" w:rsidP="00C529BB">
      <w:pPr>
        <w:pStyle w:val="Default"/>
        <w:rPr>
          <w:rFonts w:asciiTheme="minorHAnsi" w:hAnsiTheme="minorHAnsi" w:cstheme="minorHAnsi"/>
          <w:lang w:val="el-GR"/>
        </w:rPr>
      </w:pPr>
    </w:p>
    <w:p w:rsidR="00BE341D" w:rsidRPr="00B563BF" w:rsidRDefault="00BE341D" w:rsidP="00BE341D">
      <w:pPr>
        <w:autoSpaceDE w:val="0"/>
        <w:autoSpaceDN w:val="0"/>
        <w:adjustRightInd w:val="0"/>
        <w:spacing w:after="0" w:line="240" w:lineRule="auto"/>
        <w:rPr>
          <w:rFonts w:cstheme="minorHAnsi"/>
          <w:sz w:val="24"/>
          <w:szCs w:val="24"/>
          <w:lang w:val="el-GR"/>
        </w:rPr>
      </w:pPr>
    </w:p>
    <w:p w:rsidR="0037566C" w:rsidRPr="00B563BF" w:rsidRDefault="0037566C" w:rsidP="00BE341D">
      <w:pPr>
        <w:autoSpaceDE w:val="0"/>
        <w:autoSpaceDN w:val="0"/>
        <w:adjustRightInd w:val="0"/>
        <w:spacing w:after="0" w:line="240" w:lineRule="auto"/>
        <w:rPr>
          <w:rFonts w:cstheme="minorHAnsi"/>
          <w:sz w:val="24"/>
          <w:szCs w:val="24"/>
          <w:lang w:val="el-GR"/>
        </w:rPr>
      </w:pPr>
    </w:p>
    <w:p w:rsidR="0037566C" w:rsidRPr="00B563BF" w:rsidRDefault="0037566C" w:rsidP="00BE341D">
      <w:pPr>
        <w:autoSpaceDE w:val="0"/>
        <w:autoSpaceDN w:val="0"/>
        <w:adjustRightInd w:val="0"/>
        <w:spacing w:after="0" w:line="240" w:lineRule="auto"/>
        <w:rPr>
          <w:rFonts w:cstheme="minorHAnsi"/>
          <w:sz w:val="24"/>
          <w:szCs w:val="24"/>
          <w:lang w:val="el-GR"/>
        </w:rPr>
      </w:pPr>
    </w:p>
    <w:p w:rsidR="0037566C" w:rsidRPr="00B563BF" w:rsidRDefault="0037566C" w:rsidP="00BE341D">
      <w:pPr>
        <w:autoSpaceDE w:val="0"/>
        <w:autoSpaceDN w:val="0"/>
        <w:adjustRightInd w:val="0"/>
        <w:spacing w:after="0" w:line="240" w:lineRule="auto"/>
        <w:rPr>
          <w:rFonts w:cstheme="minorHAnsi"/>
          <w:sz w:val="24"/>
          <w:szCs w:val="24"/>
          <w:lang w:val="el-GR"/>
        </w:rPr>
      </w:pPr>
    </w:p>
    <w:p w:rsidR="0037566C" w:rsidRPr="00B563BF" w:rsidRDefault="0037566C" w:rsidP="00BE341D">
      <w:pPr>
        <w:autoSpaceDE w:val="0"/>
        <w:autoSpaceDN w:val="0"/>
        <w:adjustRightInd w:val="0"/>
        <w:spacing w:after="0" w:line="240" w:lineRule="auto"/>
        <w:rPr>
          <w:rFonts w:cstheme="minorHAnsi"/>
          <w:sz w:val="24"/>
          <w:szCs w:val="24"/>
          <w:lang w:val="el-GR"/>
        </w:rPr>
      </w:pPr>
    </w:p>
    <w:p w:rsidR="0037566C" w:rsidRPr="00B563BF" w:rsidRDefault="0037566C" w:rsidP="00BE341D">
      <w:pPr>
        <w:autoSpaceDE w:val="0"/>
        <w:autoSpaceDN w:val="0"/>
        <w:adjustRightInd w:val="0"/>
        <w:spacing w:after="0" w:line="240" w:lineRule="auto"/>
        <w:rPr>
          <w:rFonts w:cstheme="minorHAnsi"/>
          <w:sz w:val="24"/>
          <w:szCs w:val="24"/>
          <w:lang w:val="el-GR"/>
        </w:rPr>
      </w:pPr>
    </w:p>
    <w:p w:rsidR="0037566C" w:rsidRPr="00B563BF" w:rsidRDefault="0037566C" w:rsidP="00BE341D">
      <w:pPr>
        <w:autoSpaceDE w:val="0"/>
        <w:autoSpaceDN w:val="0"/>
        <w:adjustRightInd w:val="0"/>
        <w:spacing w:after="0" w:line="240" w:lineRule="auto"/>
        <w:rPr>
          <w:rFonts w:cstheme="minorHAnsi"/>
          <w:sz w:val="24"/>
          <w:szCs w:val="24"/>
          <w:lang w:val="el-GR"/>
        </w:rPr>
      </w:pPr>
    </w:p>
    <w:p w:rsidR="00266C37" w:rsidRPr="00B563BF" w:rsidRDefault="00266C37" w:rsidP="00BE341D">
      <w:pPr>
        <w:autoSpaceDE w:val="0"/>
        <w:autoSpaceDN w:val="0"/>
        <w:adjustRightInd w:val="0"/>
        <w:spacing w:after="0" w:line="240" w:lineRule="auto"/>
        <w:rPr>
          <w:rFonts w:cstheme="minorHAnsi"/>
          <w:sz w:val="24"/>
          <w:szCs w:val="24"/>
          <w:lang w:val="el-GR"/>
        </w:rPr>
      </w:pPr>
    </w:p>
    <w:p w:rsidR="0037566C" w:rsidRPr="00B563BF" w:rsidRDefault="0037566C" w:rsidP="0037566C">
      <w:pPr>
        <w:spacing w:line="360" w:lineRule="auto"/>
        <w:jc w:val="center"/>
        <w:rPr>
          <w:rFonts w:eastAsia="Calibri" w:cstheme="minorHAnsi"/>
          <w:b/>
          <w:bCs/>
          <w:sz w:val="28"/>
          <w:szCs w:val="28"/>
          <w:lang w:val="el-GR"/>
        </w:rPr>
      </w:pPr>
      <w:r w:rsidRPr="00B563BF">
        <w:rPr>
          <w:rFonts w:eastAsia="Calibri" w:cstheme="minorHAnsi"/>
          <w:b/>
          <w:bCs/>
          <w:sz w:val="28"/>
          <w:szCs w:val="28"/>
          <w:lang w:val="el-GR"/>
        </w:rPr>
        <w:t>ΠΡΟΓΡΑΜΜΑ ΕΛΕΓΧΟΥ</w:t>
      </w:r>
      <w:r w:rsidR="00F84A42" w:rsidRPr="00B563BF">
        <w:rPr>
          <w:rFonts w:eastAsia="Calibri" w:cstheme="minorHAnsi"/>
          <w:b/>
          <w:bCs/>
          <w:sz w:val="28"/>
          <w:szCs w:val="28"/>
          <w:lang w:val="el-GR"/>
        </w:rPr>
        <w:t xml:space="preserve"> </w:t>
      </w:r>
      <w:r w:rsidR="003549B9" w:rsidRPr="00B563BF">
        <w:rPr>
          <w:rFonts w:cstheme="minorHAnsi"/>
          <w:b/>
          <w:bCs/>
          <w:sz w:val="28"/>
          <w:szCs w:val="28"/>
          <w:lang w:val="el-GR"/>
        </w:rPr>
        <w:t>ΚΑΤΑΣΤΑΤΙΚΩΝ ΕΓΓΡΑΦΩΝ</w:t>
      </w:r>
    </w:p>
    <w:p w:rsidR="0037566C" w:rsidRPr="00B563BF" w:rsidRDefault="00E352A6" w:rsidP="0037566C">
      <w:pPr>
        <w:spacing w:line="360" w:lineRule="auto"/>
        <w:jc w:val="center"/>
        <w:rPr>
          <w:rFonts w:eastAsia="Calibri" w:cstheme="minorHAnsi"/>
          <w:b/>
          <w:bCs/>
          <w:sz w:val="28"/>
          <w:szCs w:val="28"/>
          <w:lang w:val="el-GR"/>
        </w:rPr>
      </w:pPr>
      <w:r w:rsidRPr="00B563BF">
        <w:rPr>
          <w:rFonts w:eastAsia="Calibri" w:cstheme="minorHAnsi"/>
          <w:b/>
          <w:bCs/>
          <w:sz w:val="28"/>
          <w:szCs w:val="28"/>
          <w:lang w:val="el-GR"/>
        </w:rPr>
        <w:t>ΠΟΥ ΣΥΝΟΔΕΥΕΙ ΤΗΝ ΑΙΤΗΣΗ ΤΗΣ</w:t>
      </w:r>
    </w:p>
    <w:p w:rsidR="00266C37" w:rsidRPr="00B563BF" w:rsidRDefault="00F84A42" w:rsidP="0037566C">
      <w:pPr>
        <w:pStyle w:val="Heading2"/>
        <w:rPr>
          <w:rFonts w:asciiTheme="minorHAnsi" w:eastAsia="Times New Roman" w:hAnsiTheme="minorHAnsi" w:cstheme="minorHAnsi"/>
          <w:color w:val="000000" w:themeColor="text1"/>
          <w:sz w:val="28"/>
          <w:szCs w:val="28"/>
          <w:lang w:val="el-GR"/>
        </w:rPr>
      </w:pPr>
      <w:r w:rsidRPr="00B563BF">
        <w:rPr>
          <w:rFonts w:asciiTheme="minorHAnsi" w:eastAsia="Times New Roman" w:hAnsiTheme="minorHAnsi" w:cstheme="minorHAnsi"/>
          <w:color w:val="000000" w:themeColor="text1"/>
          <w:sz w:val="28"/>
          <w:szCs w:val="28"/>
          <w:lang w:val="el-GR"/>
        </w:rPr>
        <w:t xml:space="preserve">                           </w:t>
      </w:r>
      <w:r w:rsidR="00CD2350" w:rsidRPr="00B563BF">
        <w:rPr>
          <w:rFonts w:asciiTheme="minorHAnsi" w:eastAsia="Times New Roman" w:hAnsiTheme="minorHAnsi" w:cstheme="minorHAnsi"/>
          <w:color w:val="000000" w:themeColor="text1"/>
          <w:sz w:val="28"/>
          <w:szCs w:val="28"/>
          <w:lang w:val="el-GR"/>
        </w:rPr>
        <w:t xml:space="preserve">       </w:t>
      </w:r>
    </w:p>
    <w:p w:rsidR="0037566C" w:rsidRPr="00B563BF" w:rsidRDefault="00266C37" w:rsidP="0037566C">
      <w:pPr>
        <w:pStyle w:val="Heading2"/>
        <w:rPr>
          <w:rFonts w:asciiTheme="minorHAnsi" w:eastAsia="Times New Roman" w:hAnsiTheme="minorHAnsi" w:cstheme="minorHAnsi"/>
          <w:color w:val="000000" w:themeColor="text1"/>
          <w:sz w:val="28"/>
          <w:szCs w:val="28"/>
          <w:lang w:val="el-GR"/>
        </w:rPr>
      </w:pPr>
      <w:r w:rsidRPr="00B563BF">
        <w:rPr>
          <w:rFonts w:asciiTheme="minorHAnsi" w:eastAsia="Times New Roman" w:hAnsiTheme="minorHAnsi" w:cstheme="minorHAnsi"/>
          <w:color w:val="000000" w:themeColor="text1"/>
          <w:sz w:val="28"/>
          <w:szCs w:val="28"/>
          <w:lang w:val="el-GR"/>
        </w:rPr>
        <w:t xml:space="preserve">                                 </w:t>
      </w:r>
      <w:r w:rsidR="00F84A42" w:rsidRPr="00B563BF">
        <w:rPr>
          <w:rFonts w:asciiTheme="minorHAnsi" w:eastAsia="Times New Roman" w:hAnsiTheme="minorHAnsi" w:cstheme="minorHAnsi"/>
          <w:color w:val="000000" w:themeColor="text1"/>
          <w:sz w:val="28"/>
          <w:szCs w:val="28"/>
          <w:lang w:val="el-GR"/>
        </w:rPr>
        <w:t xml:space="preserve">   </w:t>
      </w:r>
      <w:r w:rsidR="0037566C" w:rsidRPr="00B563BF">
        <w:rPr>
          <w:rFonts w:asciiTheme="minorHAnsi" w:eastAsia="Times New Roman" w:hAnsiTheme="minorHAnsi" w:cstheme="minorHAnsi"/>
          <w:color w:val="000000" w:themeColor="text1"/>
          <w:sz w:val="28"/>
          <w:szCs w:val="28"/>
          <w:lang w:val="el-GR"/>
        </w:rPr>
        <w:t>«……………………………………………………»</w:t>
      </w:r>
    </w:p>
    <w:p w:rsidR="00266C37" w:rsidRPr="00B563BF" w:rsidRDefault="00266C37" w:rsidP="00CD2350">
      <w:pPr>
        <w:spacing w:line="360" w:lineRule="auto"/>
        <w:rPr>
          <w:rFonts w:eastAsia="Calibri" w:cstheme="minorHAnsi"/>
          <w:b/>
          <w:bCs/>
          <w:sz w:val="28"/>
          <w:szCs w:val="28"/>
          <w:lang w:val="el-GR"/>
        </w:rPr>
      </w:pPr>
    </w:p>
    <w:p w:rsidR="0037566C" w:rsidRPr="00B563BF" w:rsidRDefault="00CD2350" w:rsidP="00CD2350">
      <w:pPr>
        <w:spacing w:line="360" w:lineRule="auto"/>
        <w:rPr>
          <w:rFonts w:eastAsia="Calibri" w:cstheme="minorHAnsi"/>
          <w:b/>
          <w:bCs/>
          <w:sz w:val="28"/>
          <w:szCs w:val="28"/>
          <w:lang w:val="el-GR"/>
        </w:rPr>
      </w:pPr>
      <w:r w:rsidRPr="00B563BF">
        <w:rPr>
          <w:rFonts w:eastAsia="Calibri" w:cstheme="minorHAnsi"/>
          <w:b/>
          <w:bCs/>
          <w:sz w:val="28"/>
          <w:szCs w:val="28"/>
          <w:lang w:val="el-GR"/>
        </w:rPr>
        <w:t xml:space="preserve">                                                            </w:t>
      </w:r>
      <w:r w:rsidR="0037566C" w:rsidRPr="00B563BF">
        <w:rPr>
          <w:rFonts w:eastAsia="Calibri" w:cstheme="minorHAnsi"/>
          <w:b/>
          <w:bCs/>
          <w:sz w:val="28"/>
          <w:szCs w:val="28"/>
          <w:lang w:val="el-GR"/>
        </w:rPr>
        <w:t xml:space="preserve">ΓΙΑ ΧΟΡΗΓΗΣΗ </w:t>
      </w:r>
    </w:p>
    <w:p w:rsidR="0037566C" w:rsidRPr="00B563BF" w:rsidRDefault="0037566C" w:rsidP="00CD2350">
      <w:pPr>
        <w:spacing w:line="360" w:lineRule="auto"/>
        <w:rPr>
          <w:rFonts w:eastAsia="Calibri" w:cstheme="minorHAnsi"/>
          <w:b/>
          <w:bCs/>
          <w:sz w:val="28"/>
          <w:szCs w:val="28"/>
          <w:lang w:val="el-GR"/>
        </w:rPr>
      </w:pPr>
      <w:r w:rsidRPr="00B563BF">
        <w:rPr>
          <w:rFonts w:eastAsia="Calibri" w:cstheme="minorHAnsi"/>
          <w:b/>
          <w:bCs/>
          <w:sz w:val="28"/>
          <w:szCs w:val="28"/>
          <w:lang w:val="el-GR"/>
        </w:rPr>
        <w:t>ΑΔΕΙΑΣ ΛΕΙΤΟΥΡΓΙΑΣ ΕΤΑΙΡΕΙΑΣ ΕΠΕΝΔΥΣΕΩΝ ΜΕΤΑΒΛΗΤΟΥ ΚΕΦΑΛΑΙΟΥ</w:t>
      </w:r>
    </w:p>
    <w:p w:rsidR="009C1EA9" w:rsidRPr="00B563BF" w:rsidRDefault="009C1EA9" w:rsidP="009C1EA9">
      <w:pPr>
        <w:autoSpaceDE w:val="0"/>
        <w:autoSpaceDN w:val="0"/>
        <w:adjustRightInd w:val="0"/>
        <w:spacing w:after="0" w:line="240" w:lineRule="auto"/>
        <w:rPr>
          <w:rFonts w:cstheme="minorHAnsi"/>
          <w:sz w:val="24"/>
          <w:szCs w:val="24"/>
          <w:lang w:val="el-GR"/>
        </w:rPr>
      </w:pPr>
    </w:p>
    <w:p w:rsidR="009C1EA9" w:rsidRDefault="009C1EA9" w:rsidP="009C1EA9">
      <w:pPr>
        <w:autoSpaceDE w:val="0"/>
        <w:autoSpaceDN w:val="0"/>
        <w:adjustRightInd w:val="0"/>
        <w:spacing w:after="0" w:line="240" w:lineRule="auto"/>
        <w:jc w:val="both"/>
        <w:rPr>
          <w:rFonts w:cstheme="minorHAnsi"/>
          <w:u w:val="single"/>
        </w:rPr>
      </w:pPr>
      <w:proofErr w:type="spellStart"/>
      <w:r>
        <w:rPr>
          <w:rFonts w:cstheme="minorHAnsi"/>
          <w:u w:val="single"/>
        </w:rPr>
        <w:t>Σημειώσεις</w:t>
      </w:r>
      <w:proofErr w:type="spellEnd"/>
      <w:r>
        <w:rPr>
          <w:rFonts w:cstheme="minorHAnsi"/>
          <w:u w:val="single"/>
        </w:rPr>
        <w:t>:</w:t>
      </w:r>
    </w:p>
    <w:p w:rsidR="009C1EA9" w:rsidRPr="009C1EA9" w:rsidRDefault="009C1EA9" w:rsidP="009C1EA9">
      <w:pPr>
        <w:autoSpaceDE w:val="0"/>
        <w:autoSpaceDN w:val="0"/>
        <w:adjustRightInd w:val="0"/>
        <w:spacing w:after="0" w:line="240" w:lineRule="auto"/>
        <w:jc w:val="both"/>
        <w:rPr>
          <w:rFonts w:cstheme="minorHAnsi"/>
        </w:rPr>
      </w:pPr>
    </w:p>
    <w:p w:rsidR="009C1EA9" w:rsidRPr="00B563BF" w:rsidRDefault="009C1EA9" w:rsidP="009C1EA9">
      <w:pPr>
        <w:pStyle w:val="ListParagraph"/>
        <w:numPr>
          <w:ilvl w:val="0"/>
          <w:numId w:val="11"/>
        </w:numPr>
        <w:autoSpaceDE w:val="0"/>
        <w:autoSpaceDN w:val="0"/>
        <w:adjustRightInd w:val="0"/>
        <w:spacing w:after="0" w:line="240" w:lineRule="auto"/>
        <w:jc w:val="both"/>
        <w:rPr>
          <w:rFonts w:cstheme="minorHAnsi"/>
          <w:lang w:val="el-GR"/>
        </w:rPr>
      </w:pPr>
      <w:r w:rsidRPr="00B563BF">
        <w:rPr>
          <w:rFonts w:cstheme="minorHAnsi"/>
          <w:lang w:val="el-GR"/>
        </w:rPr>
        <w:t>Κατά την ετοιμασία των Καταστατικών Εγγράφων Εταιρείας Επενδύσεων Μεταβλητού Κεφαλαίου θα πρέπει να λαμβάνεται υπόψη ο Νόμος ΟΣΕ 78(Ι)/2012 και οι εκδιδόμενες Οδηγίες.</w:t>
      </w:r>
    </w:p>
    <w:p w:rsidR="00674967" w:rsidRPr="00235D39" w:rsidRDefault="00674967" w:rsidP="00674967">
      <w:pPr>
        <w:numPr>
          <w:ilvl w:val="0"/>
          <w:numId w:val="11"/>
        </w:numPr>
        <w:autoSpaceDE w:val="0"/>
        <w:autoSpaceDN w:val="0"/>
        <w:adjustRightInd w:val="0"/>
        <w:spacing w:after="0" w:line="240" w:lineRule="auto"/>
        <w:contextualSpacing/>
        <w:jc w:val="both"/>
        <w:rPr>
          <w:rFonts w:cstheme="minorHAnsi"/>
          <w:lang w:val="el-GR"/>
        </w:rPr>
      </w:pPr>
      <w:r>
        <w:rPr>
          <w:rFonts w:cstheme="minorHAnsi"/>
          <w:lang w:val="el-GR"/>
        </w:rPr>
        <w:t xml:space="preserve">Το εν λόγω πρόγραμμα ελέγχου καλύπτει Εταιρεία Επενδύσεων Μεταβλητού Κεφαλαίου η διαχείριση της οποίας </w:t>
      </w:r>
      <w:r>
        <w:rPr>
          <w:rFonts w:eastAsia="ArialMT" w:cstheme="minorHAnsi"/>
          <w:lang w:val="el-GR"/>
        </w:rPr>
        <w:t>ανατίθεται σε Εταιρία Διαχείρισης</w:t>
      </w:r>
      <w:r>
        <w:rPr>
          <w:rFonts w:cstheme="minorHAnsi"/>
          <w:lang w:val="el-GR"/>
        </w:rPr>
        <w:t xml:space="preserve"> ή Εταιρεία Επενδύσεων Μεταβλητού Κεφαλαίου η οποία δεν ορίζει </w:t>
      </w:r>
      <w:r>
        <w:rPr>
          <w:rFonts w:eastAsia="ArialMT" w:cstheme="minorHAnsi"/>
          <w:lang w:val="el-GR"/>
        </w:rPr>
        <w:t>Εταιρία Διαχείρισης.</w:t>
      </w:r>
      <w:r>
        <w:rPr>
          <w:rFonts w:cstheme="minorHAnsi"/>
          <w:lang w:val="el-GR"/>
        </w:rPr>
        <w:t xml:space="preserve"> </w:t>
      </w:r>
      <w:r>
        <w:rPr>
          <w:rFonts w:eastAsia="ArialMT" w:cstheme="minorHAnsi"/>
          <w:lang w:val="el-GR"/>
        </w:rPr>
        <w:t>Σε περίπτωση Εταιρίας Επενδύσεων Μεταβλητού Κεφαλαίου η οποία δεν ορίζει Εταιρία Διαχείρισης, αναφορές σε ‘Εταιρία Διαχείρισης’ νοούνται ως αναφορές στην ‘Εταιρία Επενδύσεων Μεταβλητού Κεφαλαίου’.</w:t>
      </w:r>
    </w:p>
    <w:p w:rsidR="00235D39" w:rsidRPr="00235D39" w:rsidRDefault="00235D39" w:rsidP="00235D39">
      <w:pPr>
        <w:pStyle w:val="ListParagraph"/>
        <w:numPr>
          <w:ilvl w:val="0"/>
          <w:numId w:val="11"/>
        </w:numPr>
        <w:autoSpaceDE w:val="0"/>
        <w:autoSpaceDN w:val="0"/>
        <w:adjustRightInd w:val="0"/>
        <w:spacing w:after="0" w:line="240" w:lineRule="auto"/>
        <w:jc w:val="both"/>
        <w:rPr>
          <w:rFonts w:cstheme="minorHAnsi"/>
          <w:b/>
          <w:i/>
          <w:lang w:val="el-GR"/>
        </w:rPr>
      </w:pPr>
      <w:r w:rsidRPr="00235D39">
        <w:rPr>
          <w:rFonts w:cstheme="minorHAnsi"/>
          <w:b/>
          <w:i/>
          <w:lang w:val="el-GR"/>
        </w:rPr>
        <w:t>Το εν λόγω πρόγραμμα ελέγχου να συμπληρωθεί από τα ενδιαφερόμενα μέρη.</w:t>
      </w:r>
      <w:r w:rsidRPr="00235D39">
        <w:rPr>
          <w:rFonts w:eastAsia="Calibri" w:cs="Arial"/>
          <w:b/>
          <w:i/>
          <w:lang w:val="el-GR"/>
        </w:rPr>
        <w:t xml:space="preserve"> Σε περίπτωση μη εφαρμογής των διατάξεων του εν λόγω εγγράφου, να αναγραφεί ‘Δ/Ε’. </w:t>
      </w:r>
    </w:p>
    <w:p w:rsidR="00235D39" w:rsidRDefault="00235D39" w:rsidP="00235D39">
      <w:pPr>
        <w:autoSpaceDE w:val="0"/>
        <w:autoSpaceDN w:val="0"/>
        <w:adjustRightInd w:val="0"/>
        <w:spacing w:after="0" w:line="240" w:lineRule="auto"/>
        <w:ind w:left="720"/>
        <w:contextualSpacing/>
        <w:jc w:val="both"/>
        <w:rPr>
          <w:rFonts w:cstheme="minorHAnsi"/>
          <w:lang w:val="el-GR"/>
        </w:rPr>
      </w:pPr>
    </w:p>
    <w:p w:rsidR="00CD2350" w:rsidRPr="00B563BF" w:rsidRDefault="00CD2350" w:rsidP="00BE341D">
      <w:pPr>
        <w:autoSpaceDE w:val="0"/>
        <w:autoSpaceDN w:val="0"/>
        <w:adjustRightInd w:val="0"/>
        <w:spacing w:after="0" w:line="240" w:lineRule="auto"/>
        <w:rPr>
          <w:rFonts w:cstheme="minorHAnsi"/>
          <w:lang w:val="el-GR"/>
        </w:rPr>
      </w:pPr>
    </w:p>
    <w:tbl>
      <w:tblPr>
        <w:tblpPr w:leftFromText="180" w:rightFromText="180" w:vertAnchor="page" w:horzAnchor="margin" w:tblpXSpec="center" w:tblpY="16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134"/>
        <w:gridCol w:w="1559"/>
        <w:gridCol w:w="1276"/>
      </w:tblGrid>
      <w:tr w:rsidR="005934CF" w:rsidRPr="008767C3" w:rsidTr="00CF4408">
        <w:trPr>
          <w:trHeight w:val="600"/>
        </w:trPr>
        <w:tc>
          <w:tcPr>
            <w:tcW w:w="5920" w:type="dxa"/>
            <w:shd w:val="clear" w:color="auto" w:fill="EEECE1" w:themeFill="background2"/>
          </w:tcPr>
          <w:p w:rsidR="005934CF" w:rsidRPr="00B563BF" w:rsidRDefault="002008E5" w:rsidP="003C567C">
            <w:pPr>
              <w:autoSpaceDE w:val="0"/>
              <w:autoSpaceDN w:val="0"/>
              <w:adjustRightInd w:val="0"/>
              <w:spacing w:after="0" w:line="240" w:lineRule="auto"/>
              <w:jc w:val="both"/>
              <w:rPr>
                <w:rFonts w:cstheme="minorHAnsi"/>
                <w:b/>
                <w:sz w:val="24"/>
                <w:szCs w:val="24"/>
                <w:lang w:val="el-GR"/>
              </w:rPr>
            </w:pPr>
            <w:r w:rsidRPr="00B563BF">
              <w:rPr>
                <w:rFonts w:cstheme="minorHAnsi"/>
                <w:b/>
                <w:sz w:val="24"/>
                <w:szCs w:val="24"/>
                <w:lang w:val="el-GR"/>
              </w:rPr>
              <w:lastRenderedPageBreak/>
              <w:t xml:space="preserve">Ι. </w:t>
            </w:r>
            <w:r w:rsidR="003C567C" w:rsidRPr="00B563BF">
              <w:rPr>
                <w:rFonts w:cstheme="minorHAnsi"/>
                <w:b/>
                <w:sz w:val="24"/>
                <w:szCs w:val="24"/>
                <w:lang w:val="el-GR"/>
              </w:rPr>
              <w:t>Ελάχιστο περιεχόμενο των Καταστατικών Εγγράφων της Εταιρείας Επενδύ</w:t>
            </w:r>
            <w:r w:rsidR="00CF4408" w:rsidRPr="00B563BF">
              <w:rPr>
                <w:rFonts w:cstheme="minorHAnsi"/>
                <w:b/>
                <w:sz w:val="24"/>
                <w:szCs w:val="24"/>
                <w:lang w:val="el-GR"/>
              </w:rPr>
              <w:t>σεων (ΕΕΜΚ) βάσει του περί ΟΣΕ</w:t>
            </w:r>
            <w:r w:rsidR="003C567C" w:rsidRPr="00B563BF">
              <w:rPr>
                <w:rFonts w:cstheme="minorHAnsi"/>
                <w:b/>
                <w:sz w:val="24"/>
                <w:szCs w:val="24"/>
                <w:lang w:val="el-GR"/>
              </w:rPr>
              <w:t xml:space="preserve"> Νόμου</w:t>
            </w:r>
            <w:r w:rsidRPr="00B563BF">
              <w:rPr>
                <w:rFonts w:cstheme="minorHAnsi"/>
                <w:b/>
                <w:sz w:val="24"/>
                <w:szCs w:val="24"/>
                <w:lang w:val="el-GR"/>
              </w:rPr>
              <w:t>-</w:t>
            </w:r>
            <w:r w:rsidR="003C567C" w:rsidRPr="00B563BF">
              <w:rPr>
                <w:rFonts w:cstheme="minorHAnsi"/>
                <w:b/>
                <w:sz w:val="24"/>
                <w:szCs w:val="24"/>
                <w:lang w:val="el-GR"/>
              </w:rPr>
              <w:t>ά</w:t>
            </w:r>
            <w:r w:rsidR="00BB66DF" w:rsidRPr="00B563BF">
              <w:rPr>
                <w:rFonts w:cstheme="minorHAnsi"/>
                <w:b/>
                <w:sz w:val="24"/>
                <w:szCs w:val="24"/>
                <w:lang w:val="el-GR"/>
              </w:rPr>
              <w:t xml:space="preserve">ρθρα 33, 35(1)(δ), 35(4) </w:t>
            </w:r>
            <w:r w:rsidR="005934CF" w:rsidRPr="00B563BF">
              <w:rPr>
                <w:rFonts w:cstheme="minorHAnsi"/>
                <w:b/>
                <w:sz w:val="24"/>
                <w:szCs w:val="24"/>
                <w:lang w:val="el-GR"/>
              </w:rPr>
              <w:t>και 35(2)(α)</w:t>
            </w:r>
          </w:p>
          <w:p w:rsidR="002008E5" w:rsidRPr="00B563BF" w:rsidRDefault="002008E5" w:rsidP="003C567C">
            <w:pPr>
              <w:autoSpaceDE w:val="0"/>
              <w:autoSpaceDN w:val="0"/>
              <w:adjustRightInd w:val="0"/>
              <w:spacing w:after="0" w:line="240" w:lineRule="auto"/>
              <w:jc w:val="both"/>
              <w:rPr>
                <w:rFonts w:cstheme="minorHAnsi"/>
                <w:b/>
                <w:sz w:val="24"/>
                <w:szCs w:val="24"/>
                <w:lang w:val="el-GR"/>
              </w:rPr>
            </w:pPr>
          </w:p>
        </w:tc>
        <w:tc>
          <w:tcPr>
            <w:tcW w:w="1134" w:type="dxa"/>
          </w:tcPr>
          <w:p w:rsidR="005934CF" w:rsidRPr="008767C3" w:rsidRDefault="005934CF" w:rsidP="003C567C">
            <w:pPr>
              <w:autoSpaceDE w:val="0"/>
              <w:autoSpaceDN w:val="0"/>
              <w:adjustRightInd w:val="0"/>
              <w:spacing w:after="0" w:line="240" w:lineRule="auto"/>
              <w:jc w:val="center"/>
              <w:rPr>
                <w:rFonts w:cstheme="minorHAnsi"/>
                <w:b/>
                <w:sz w:val="24"/>
                <w:szCs w:val="24"/>
              </w:rPr>
            </w:pPr>
            <w:proofErr w:type="spellStart"/>
            <w:r w:rsidRPr="008767C3">
              <w:rPr>
                <w:rFonts w:cstheme="minorHAnsi"/>
                <w:b/>
                <w:sz w:val="24"/>
                <w:szCs w:val="24"/>
              </w:rPr>
              <w:t>Σελίδ</w:t>
            </w:r>
            <w:proofErr w:type="spellEnd"/>
            <w:r w:rsidRPr="008767C3">
              <w:rPr>
                <w:rFonts w:cstheme="minorHAnsi"/>
                <w:b/>
                <w:sz w:val="24"/>
                <w:szCs w:val="24"/>
              </w:rPr>
              <w:t>α</w:t>
            </w:r>
          </w:p>
        </w:tc>
        <w:tc>
          <w:tcPr>
            <w:tcW w:w="1559" w:type="dxa"/>
          </w:tcPr>
          <w:p w:rsidR="005934CF" w:rsidRPr="008767C3" w:rsidRDefault="005934CF" w:rsidP="003C567C">
            <w:pPr>
              <w:autoSpaceDE w:val="0"/>
              <w:autoSpaceDN w:val="0"/>
              <w:adjustRightInd w:val="0"/>
              <w:spacing w:after="0" w:line="240" w:lineRule="auto"/>
              <w:jc w:val="center"/>
              <w:rPr>
                <w:rFonts w:cstheme="minorHAnsi"/>
                <w:b/>
                <w:sz w:val="24"/>
                <w:szCs w:val="24"/>
              </w:rPr>
            </w:pPr>
            <w:r w:rsidRPr="008767C3">
              <w:rPr>
                <w:rFonts w:cstheme="minorHAnsi"/>
                <w:b/>
                <w:sz w:val="24"/>
                <w:szCs w:val="24"/>
              </w:rPr>
              <w:t>Πα</w:t>
            </w:r>
            <w:proofErr w:type="spellStart"/>
            <w:r w:rsidRPr="008767C3">
              <w:rPr>
                <w:rFonts w:cstheme="minorHAnsi"/>
                <w:b/>
                <w:sz w:val="24"/>
                <w:szCs w:val="24"/>
              </w:rPr>
              <w:t>ράγρ</w:t>
            </w:r>
            <w:proofErr w:type="spellEnd"/>
            <w:r w:rsidRPr="008767C3">
              <w:rPr>
                <w:rFonts w:cstheme="minorHAnsi"/>
                <w:b/>
                <w:sz w:val="24"/>
                <w:szCs w:val="24"/>
              </w:rPr>
              <w:t>αφος</w:t>
            </w:r>
          </w:p>
        </w:tc>
        <w:tc>
          <w:tcPr>
            <w:tcW w:w="1276" w:type="dxa"/>
          </w:tcPr>
          <w:p w:rsidR="005934CF" w:rsidRPr="008767C3" w:rsidRDefault="005934CF" w:rsidP="003C567C">
            <w:pPr>
              <w:autoSpaceDE w:val="0"/>
              <w:autoSpaceDN w:val="0"/>
              <w:adjustRightInd w:val="0"/>
              <w:spacing w:after="0" w:line="240" w:lineRule="auto"/>
              <w:jc w:val="center"/>
              <w:rPr>
                <w:rFonts w:cstheme="minorHAnsi"/>
                <w:b/>
                <w:sz w:val="24"/>
                <w:szCs w:val="24"/>
              </w:rPr>
            </w:pPr>
            <w:proofErr w:type="spellStart"/>
            <w:r w:rsidRPr="008767C3">
              <w:rPr>
                <w:rFonts w:cstheme="minorHAnsi"/>
                <w:b/>
                <w:sz w:val="24"/>
                <w:szCs w:val="24"/>
              </w:rPr>
              <w:t>Γι</w:t>
            </w:r>
            <w:proofErr w:type="spellEnd"/>
            <w:r w:rsidRPr="008767C3">
              <w:rPr>
                <w:rFonts w:cstheme="minorHAnsi"/>
                <w:b/>
                <w:sz w:val="24"/>
                <w:szCs w:val="24"/>
              </w:rPr>
              <w:t>α επ</w:t>
            </w:r>
            <w:proofErr w:type="spellStart"/>
            <w:r w:rsidRPr="008767C3">
              <w:rPr>
                <w:rFonts w:cstheme="minorHAnsi"/>
                <w:b/>
                <w:sz w:val="24"/>
                <w:szCs w:val="24"/>
              </w:rPr>
              <w:t>ίσημη</w:t>
            </w:r>
            <w:proofErr w:type="spellEnd"/>
            <w:r w:rsidRPr="008767C3">
              <w:rPr>
                <w:rFonts w:cstheme="minorHAnsi"/>
                <w:b/>
                <w:sz w:val="24"/>
                <w:szCs w:val="24"/>
              </w:rPr>
              <w:t xml:space="preserve"> </w:t>
            </w:r>
            <w:proofErr w:type="spellStart"/>
            <w:r w:rsidRPr="008767C3">
              <w:rPr>
                <w:rFonts w:cstheme="minorHAnsi"/>
                <w:b/>
                <w:sz w:val="24"/>
                <w:szCs w:val="24"/>
              </w:rPr>
              <w:t>χρήση</w:t>
            </w:r>
            <w:proofErr w:type="spellEnd"/>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w:t>
            </w:r>
            <w:r w:rsidR="004A13A9" w:rsidRPr="00B563BF">
              <w:rPr>
                <w:rFonts w:cstheme="minorHAnsi"/>
                <w:sz w:val="24"/>
                <w:szCs w:val="24"/>
                <w:lang w:val="el-GR"/>
              </w:rPr>
              <w:t xml:space="preserve"> </w:t>
            </w:r>
            <w:r w:rsidRPr="00B563BF">
              <w:rPr>
                <w:rFonts w:cstheme="minorHAnsi"/>
                <w:sz w:val="24"/>
                <w:szCs w:val="24"/>
                <w:lang w:val="el-GR"/>
              </w:rPr>
              <w:t>Την ιδιότητα της Εταιρίας ως Εταιρίας Επενδύσεων Μεταβλητού Κεφαλαίου καθώς και την επωνυμία της Εταιρίας Διαχείρισης και του Θεματοφύλακα, εφόσον έχουν οριστεί</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2.</w:t>
            </w:r>
            <w:r w:rsidR="004A13A9" w:rsidRPr="00B563BF">
              <w:rPr>
                <w:rFonts w:cstheme="minorHAnsi"/>
                <w:sz w:val="24"/>
                <w:szCs w:val="24"/>
                <w:lang w:val="el-GR"/>
              </w:rPr>
              <w:t xml:space="preserve"> </w:t>
            </w:r>
            <w:r w:rsidRPr="008767C3">
              <w:rPr>
                <w:rFonts w:cstheme="minorHAnsi"/>
                <w:sz w:val="24"/>
                <w:szCs w:val="24"/>
              </w:rPr>
              <w:t>T</w:t>
            </w:r>
            <w:r w:rsidRPr="00B563BF">
              <w:rPr>
                <w:rFonts w:cstheme="minorHAnsi"/>
                <w:sz w:val="24"/>
                <w:szCs w:val="24"/>
                <w:lang w:val="el-GR"/>
              </w:rPr>
              <w:t>ο σκοπό της Εταιρίας Επενδύσεων Μεταβλητού Κεφαλαίου, από τον οποίο πρέπει να προκύπτουν οι επενδυτικοί της στόχοι, η επενδυτική πολιτική της, καθώς και τα κριτήρια επιλογής των επενδύσεών της</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3.</w:t>
            </w:r>
            <w:r w:rsidR="004A13A9" w:rsidRPr="00B563BF">
              <w:rPr>
                <w:rFonts w:cstheme="minorHAnsi"/>
                <w:sz w:val="24"/>
                <w:szCs w:val="24"/>
                <w:lang w:val="el-GR"/>
              </w:rPr>
              <w:t xml:space="preserve"> </w:t>
            </w:r>
            <w:r w:rsidRPr="00B563BF">
              <w:rPr>
                <w:rFonts w:cstheme="minorHAnsi"/>
                <w:sz w:val="24"/>
                <w:szCs w:val="24"/>
                <w:lang w:val="el-GR"/>
              </w:rPr>
              <w:t>Τη διάρκεια της Εταιρίας Επενδύσεων Μεταβλητού Κεφαλαίου ή μνεία ότι η διάρκειά της είναι αορίστου χρόνου</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4.</w:t>
            </w:r>
            <w:r w:rsidR="004A13A9" w:rsidRPr="00B563BF">
              <w:rPr>
                <w:rFonts w:cstheme="minorHAnsi"/>
                <w:sz w:val="24"/>
                <w:szCs w:val="24"/>
                <w:lang w:val="el-GR"/>
              </w:rPr>
              <w:t xml:space="preserve"> </w:t>
            </w:r>
            <w:r w:rsidRPr="00B563BF">
              <w:rPr>
                <w:rFonts w:cstheme="minorHAnsi"/>
                <w:sz w:val="24"/>
                <w:szCs w:val="24"/>
                <w:lang w:val="el-GR"/>
              </w:rPr>
              <w:t xml:space="preserve">Τις αρχές και τον τρόπο αποτίμησης των στοιχείων του ενεργητικού της Εταιρίας Επενδύσεων Μεταβλητού Κεφαλαίου, καθώς και τους κανόνες υπολογισμού της  τιμής διάθεσης και εξαγοράς ή εξόφλησης των μετοχών </w:t>
            </w:r>
            <w:r w:rsidR="002008E5" w:rsidRPr="00B563BF">
              <w:rPr>
                <w:rFonts w:cstheme="minorHAnsi"/>
                <w:sz w:val="24"/>
                <w:szCs w:val="24"/>
                <w:lang w:val="el-GR"/>
              </w:rPr>
              <w:t>της</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5.</w:t>
            </w:r>
            <w:r w:rsidR="004A13A9" w:rsidRPr="00B563BF">
              <w:rPr>
                <w:rFonts w:cstheme="minorHAnsi"/>
                <w:sz w:val="24"/>
                <w:szCs w:val="24"/>
                <w:lang w:val="el-GR"/>
              </w:rPr>
              <w:t xml:space="preserve"> </w:t>
            </w:r>
            <w:r w:rsidRPr="00B563BF">
              <w:rPr>
                <w:rFonts w:cstheme="minorHAnsi"/>
                <w:sz w:val="24"/>
                <w:szCs w:val="24"/>
                <w:lang w:val="el-GR"/>
              </w:rPr>
              <w:t>Τους όρους έκδοσης, διάθεσης, ακύρωσης και εξαγοράς ή εξόφλησης μετοχών, καθώς και τους όρους με τους οποίους η εξαγορά ή η εξόφληση των μετοχών μπορεί να ανασταλεί σύμφωνα με το άρθρο 19 του Νόμου και μνεία του γεγονότος ότι η αναστολή εξαγοράς είναι δυνατό να αποφασιστεί από την Επιτροπή Κεφαλαιαγοράς με δική της πρωτοβουλία</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6.</w:t>
            </w:r>
            <w:r w:rsidR="004A13A9" w:rsidRPr="00B563BF">
              <w:rPr>
                <w:rFonts w:cstheme="minorHAnsi"/>
                <w:sz w:val="24"/>
                <w:szCs w:val="24"/>
                <w:lang w:val="el-GR"/>
              </w:rPr>
              <w:t xml:space="preserve"> </w:t>
            </w:r>
            <w:r w:rsidRPr="00B563BF">
              <w:rPr>
                <w:rFonts w:cstheme="minorHAnsi"/>
                <w:sz w:val="24"/>
                <w:szCs w:val="24"/>
                <w:lang w:val="el-GR"/>
              </w:rPr>
              <w:t xml:space="preserve">Τη διάρκεια του οικονομικού έτους και την ημερομηνία κλεισίματός </w:t>
            </w:r>
            <w:r w:rsidR="002008E5" w:rsidRPr="00B563BF">
              <w:rPr>
                <w:rFonts w:cstheme="minorHAnsi"/>
                <w:sz w:val="24"/>
                <w:szCs w:val="24"/>
                <w:lang w:val="el-GR"/>
              </w:rPr>
              <w:t>της</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7.</w:t>
            </w:r>
            <w:r w:rsidR="004A13A9" w:rsidRPr="00B563BF">
              <w:rPr>
                <w:rFonts w:cstheme="minorHAnsi"/>
                <w:sz w:val="24"/>
                <w:szCs w:val="24"/>
                <w:lang w:val="el-GR"/>
              </w:rPr>
              <w:t xml:space="preserve"> </w:t>
            </w:r>
            <w:r w:rsidRPr="00B563BF">
              <w:rPr>
                <w:rFonts w:cstheme="minorHAnsi"/>
                <w:sz w:val="24"/>
                <w:szCs w:val="24"/>
                <w:lang w:val="el-GR"/>
              </w:rPr>
              <w:t>Τις αμοιβές και προμήθειες της Εταιρίας Διαχείρισης και του Θεματοφύλακα, εφόσον έχουν οριστεί τέτοιοι, καθώς και τη μέθοδο υπολογισμού αυτών των αμοιβών και προμηθειών</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8.</w:t>
            </w:r>
            <w:r w:rsidR="004A13A9" w:rsidRPr="00B563BF">
              <w:rPr>
                <w:rFonts w:cstheme="minorHAnsi"/>
                <w:sz w:val="24"/>
                <w:szCs w:val="24"/>
                <w:lang w:val="el-GR"/>
              </w:rPr>
              <w:t xml:space="preserve"> </w:t>
            </w:r>
            <w:r w:rsidRPr="00B563BF">
              <w:rPr>
                <w:rFonts w:cstheme="minorHAnsi"/>
                <w:sz w:val="24"/>
                <w:szCs w:val="24"/>
                <w:lang w:val="el-GR"/>
              </w:rPr>
              <w:t>Τη σχέση της Εταιρίας Επενδύσεων Μεταβλητού Κεφαλαίου, της Εταιρίας Διαχείρισης και του Θεματοφύλακα ιδίως, το εάν ανήκουν στον ίδιο όμιλο εταιριών, καθώς και σε σχέση με τα κριτήρια και τις προϋποθέσεις που ορίζει το άρθρο 13</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r w:rsidR="005934CF" w:rsidRPr="00275B90" w:rsidTr="005934CF">
        <w:trPr>
          <w:trHeight w:val="213"/>
        </w:trPr>
        <w:tc>
          <w:tcPr>
            <w:tcW w:w="5920" w:type="dxa"/>
          </w:tcPr>
          <w:p w:rsidR="005934CF" w:rsidRPr="00B563BF" w:rsidRDefault="005934CF" w:rsidP="005934CF">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9.</w:t>
            </w:r>
            <w:r w:rsidR="004A13A9" w:rsidRPr="00B563BF">
              <w:rPr>
                <w:rFonts w:cstheme="minorHAnsi"/>
                <w:sz w:val="24"/>
                <w:szCs w:val="24"/>
                <w:lang w:val="el-GR"/>
              </w:rPr>
              <w:t xml:space="preserve"> </w:t>
            </w:r>
            <w:r w:rsidRPr="00B563BF">
              <w:rPr>
                <w:rFonts w:cstheme="minorHAnsi"/>
                <w:sz w:val="24"/>
                <w:szCs w:val="24"/>
                <w:lang w:val="el-GR"/>
              </w:rPr>
              <w:t>Τις δαπάνες οι οποίες βαρύνουν την Εταιρία</w:t>
            </w:r>
            <w:r w:rsidR="002008E5" w:rsidRPr="00B563BF">
              <w:rPr>
                <w:rFonts w:cstheme="minorHAnsi"/>
                <w:sz w:val="24"/>
                <w:szCs w:val="24"/>
                <w:lang w:val="el-GR"/>
              </w:rPr>
              <w:t xml:space="preserve"> </w:t>
            </w:r>
            <w:r w:rsidRPr="00B563BF">
              <w:rPr>
                <w:rFonts w:cstheme="minorHAnsi"/>
                <w:sz w:val="24"/>
                <w:szCs w:val="24"/>
                <w:lang w:val="el-GR"/>
              </w:rPr>
              <w:t>Επενδύσεων Μεταβλητού Κεφαλαίου</w:t>
            </w:r>
          </w:p>
        </w:tc>
        <w:tc>
          <w:tcPr>
            <w:tcW w:w="1134"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559"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c>
          <w:tcPr>
            <w:tcW w:w="1276" w:type="dxa"/>
          </w:tcPr>
          <w:p w:rsidR="005934CF" w:rsidRPr="00B563BF" w:rsidRDefault="005934CF" w:rsidP="005934CF">
            <w:pPr>
              <w:autoSpaceDE w:val="0"/>
              <w:autoSpaceDN w:val="0"/>
              <w:adjustRightInd w:val="0"/>
              <w:spacing w:after="0" w:line="240" w:lineRule="auto"/>
              <w:rPr>
                <w:rFonts w:cstheme="minorHAnsi"/>
                <w:sz w:val="24"/>
                <w:szCs w:val="24"/>
                <w:lang w:val="el-GR"/>
              </w:rPr>
            </w:pPr>
          </w:p>
        </w:tc>
      </w:tr>
    </w:tbl>
    <w:p w:rsidR="00086B09" w:rsidRPr="00B563BF" w:rsidRDefault="00086B09">
      <w:pPr>
        <w:rPr>
          <w:rFonts w:cstheme="minorHAnsi"/>
          <w:sz w:val="24"/>
          <w:szCs w:val="24"/>
          <w:lang w:val="el-GR"/>
        </w:rPr>
      </w:pPr>
      <w:r w:rsidRPr="00B563BF">
        <w:rPr>
          <w:rFonts w:cstheme="minorHAnsi"/>
          <w:sz w:val="24"/>
          <w:szCs w:val="24"/>
          <w:lang w:val="el-GR"/>
        </w:rPr>
        <w:br w:type="page"/>
      </w:r>
    </w:p>
    <w:tbl>
      <w:tblPr>
        <w:tblpPr w:leftFromText="180" w:rightFromText="180" w:vertAnchor="page" w:horzAnchor="margin" w:tblpX="-384" w:tblpY="1336"/>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134"/>
        <w:gridCol w:w="1484"/>
        <w:gridCol w:w="1310"/>
      </w:tblGrid>
      <w:tr w:rsidR="001554C1" w:rsidRPr="00275B90" w:rsidTr="002008E5">
        <w:trPr>
          <w:trHeight w:val="213"/>
        </w:trPr>
        <w:tc>
          <w:tcPr>
            <w:tcW w:w="6062" w:type="dxa"/>
          </w:tcPr>
          <w:p w:rsidR="001554C1" w:rsidRPr="00B563BF" w:rsidRDefault="00BF37E4"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lastRenderedPageBreak/>
              <w:t>10.</w:t>
            </w:r>
            <w:r w:rsidR="004A13A9" w:rsidRPr="00B563BF">
              <w:rPr>
                <w:rFonts w:cstheme="minorHAnsi"/>
                <w:sz w:val="24"/>
                <w:szCs w:val="24"/>
                <w:lang w:val="el-GR"/>
              </w:rPr>
              <w:t xml:space="preserve"> </w:t>
            </w:r>
            <w:r w:rsidR="001554C1" w:rsidRPr="00B563BF">
              <w:rPr>
                <w:rFonts w:cstheme="minorHAnsi"/>
                <w:sz w:val="24"/>
                <w:szCs w:val="24"/>
                <w:lang w:val="el-GR"/>
              </w:rPr>
              <w:t>Κανόνες για τη διανομή των κερδών της Εταιρίας Επενδύσεων Μεταβλητού Κεφαλαίου στους μετόχους της, ιδίως το χρόνο και τη διαδικασία διανομής</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BF37E4"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11</w:t>
            </w:r>
            <w:r w:rsidR="001554C1" w:rsidRPr="00B563BF">
              <w:rPr>
                <w:rFonts w:cstheme="minorHAnsi"/>
                <w:sz w:val="24"/>
                <w:szCs w:val="24"/>
                <w:lang w:val="el-GR"/>
              </w:rPr>
              <w:t>.</w:t>
            </w:r>
            <w:r w:rsidR="004A13A9" w:rsidRPr="00B563BF">
              <w:rPr>
                <w:rFonts w:cstheme="minorHAnsi"/>
                <w:sz w:val="24"/>
                <w:szCs w:val="24"/>
                <w:lang w:val="el-GR"/>
              </w:rPr>
              <w:t xml:space="preserve"> </w:t>
            </w:r>
            <w:r w:rsidR="001554C1" w:rsidRPr="00B563BF">
              <w:rPr>
                <w:rFonts w:cstheme="minorHAnsi"/>
                <w:sz w:val="24"/>
                <w:szCs w:val="24"/>
                <w:lang w:val="el-GR"/>
              </w:rPr>
              <w:t>Όρους για τη δημοσιοποίηση των πληροφοριών που αφορούν την Εταιρία Επενδύσεων Μεταβλητού Κεφαλαίου</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F84A42"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w:t>
            </w:r>
            <w:r w:rsidR="00BF37E4" w:rsidRPr="00B563BF">
              <w:rPr>
                <w:rFonts w:cstheme="minorHAnsi"/>
                <w:sz w:val="24"/>
                <w:szCs w:val="24"/>
                <w:lang w:val="el-GR"/>
              </w:rPr>
              <w:t>2</w:t>
            </w:r>
            <w:r w:rsidR="001554C1" w:rsidRPr="00B563BF">
              <w:rPr>
                <w:rFonts w:cstheme="minorHAnsi"/>
                <w:sz w:val="24"/>
                <w:szCs w:val="24"/>
                <w:lang w:val="el-GR"/>
              </w:rPr>
              <w:t>.</w:t>
            </w:r>
            <w:r w:rsidR="004A13A9" w:rsidRPr="00B563BF">
              <w:rPr>
                <w:rFonts w:cstheme="minorHAnsi"/>
                <w:sz w:val="24"/>
                <w:szCs w:val="24"/>
                <w:lang w:val="el-GR"/>
              </w:rPr>
              <w:t xml:space="preserve"> </w:t>
            </w:r>
            <w:r w:rsidR="001554C1" w:rsidRPr="00B563BF">
              <w:rPr>
                <w:rFonts w:cstheme="minorHAnsi"/>
                <w:sz w:val="24"/>
                <w:szCs w:val="24"/>
                <w:lang w:val="el-GR"/>
              </w:rPr>
              <w:t>Τη διαδικασία τροποποίησης των καταστατικών</w:t>
            </w:r>
            <w:r w:rsidR="005934CF" w:rsidRPr="00B563BF">
              <w:rPr>
                <w:rFonts w:cstheme="minorHAnsi"/>
                <w:sz w:val="24"/>
                <w:szCs w:val="24"/>
                <w:lang w:val="el-GR"/>
              </w:rPr>
              <w:t xml:space="preserve"> </w:t>
            </w:r>
            <w:r w:rsidR="001554C1" w:rsidRPr="00B563BF">
              <w:rPr>
                <w:rFonts w:cstheme="minorHAnsi"/>
                <w:sz w:val="24"/>
                <w:szCs w:val="24"/>
                <w:lang w:val="el-GR"/>
              </w:rPr>
              <w:t>εγγράφων της Εταιρίας Επενδύσεων Μεταβλητού</w:t>
            </w:r>
            <w:r w:rsidR="003942A4" w:rsidRPr="00B563BF">
              <w:rPr>
                <w:rFonts w:cstheme="minorHAnsi"/>
                <w:sz w:val="24"/>
                <w:szCs w:val="24"/>
                <w:lang w:val="el-GR"/>
              </w:rPr>
              <w:t xml:space="preserve"> </w:t>
            </w:r>
            <w:r w:rsidR="001554C1" w:rsidRPr="00B563BF">
              <w:rPr>
                <w:rFonts w:cstheme="minorHAnsi"/>
                <w:sz w:val="24"/>
                <w:szCs w:val="24"/>
                <w:lang w:val="el-GR"/>
              </w:rPr>
              <w:t>Κεφαλαίου</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F84A42"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w:t>
            </w:r>
            <w:r w:rsidR="00BF37E4" w:rsidRPr="00B563BF">
              <w:rPr>
                <w:rFonts w:cstheme="minorHAnsi"/>
                <w:sz w:val="24"/>
                <w:szCs w:val="24"/>
                <w:lang w:val="el-GR"/>
              </w:rPr>
              <w:t>3</w:t>
            </w:r>
            <w:r w:rsidR="001554C1" w:rsidRPr="00B563BF">
              <w:rPr>
                <w:rFonts w:cstheme="minorHAnsi"/>
                <w:sz w:val="24"/>
                <w:szCs w:val="24"/>
                <w:lang w:val="el-GR"/>
              </w:rPr>
              <w:t>.</w:t>
            </w:r>
            <w:r w:rsidR="004A13A9" w:rsidRPr="00B563BF">
              <w:rPr>
                <w:rFonts w:cstheme="minorHAnsi"/>
                <w:sz w:val="24"/>
                <w:szCs w:val="24"/>
                <w:lang w:val="el-GR"/>
              </w:rPr>
              <w:t xml:space="preserve"> </w:t>
            </w:r>
            <w:r w:rsidR="001554C1" w:rsidRPr="00B563BF">
              <w:rPr>
                <w:rFonts w:cstheme="minorHAnsi"/>
                <w:sz w:val="24"/>
                <w:szCs w:val="24"/>
                <w:lang w:val="el-GR"/>
              </w:rPr>
              <w:t>Τους λόγους διάλυσης της Εταιρίας Επενδύσεων  Μεταβλητού Κεφαλαίου</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F84A42"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w:t>
            </w:r>
            <w:r w:rsidR="00BF37E4" w:rsidRPr="00B563BF">
              <w:rPr>
                <w:rFonts w:cstheme="minorHAnsi"/>
                <w:sz w:val="24"/>
                <w:szCs w:val="24"/>
                <w:lang w:val="el-GR"/>
              </w:rPr>
              <w:t>4</w:t>
            </w:r>
            <w:r w:rsidR="001554C1" w:rsidRPr="00B563BF">
              <w:rPr>
                <w:rFonts w:cstheme="minorHAnsi"/>
                <w:sz w:val="24"/>
                <w:szCs w:val="24"/>
                <w:lang w:val="el-GR"/>
              </w:rPr>
              <w:t>.</w:t>
            </w:r>
            <w:r w:rsidR="004A13A9" w:rsidRPr="00B563BF">
              <w:rPr>
                <w:rFonts w:cstheme="minorHAnsi"/>
                <w:sz w:val="24"/>
                <w:szCs w:val="24"/>
                <w:lang w:val="el-GR"/>
              </w:rPr>
              <w:t xml:space="preserve"> </w:t>
            </w:r>
            <w:r w:rsidR="001554C1" w:rsidRPr="00B563BF">
              <w:rPr>
                <w:rFonts w:cstheme="minorHAnsi"/>
                <w:sz w:val="24"/>
                <w:szCs w:val="24"/>
                <w:lang w:val="el-GR"/>
              </w:rPr>
              <w:t>Ανεξάρτητα από τις διατάξεις της παραγράφου (α) του εδαφίου (4) του άρθρου 4 του περί Εταιριών Νόμου και επιπλέον των στοιχείων του εδαφίου (1), το ιδρυτικό έγγραφο της Εταιρίας Επενδύσεων Μεταβλητού Κεφαλαίου αναφέρει:</w:t>
            </w:r>
          </w:p>
          <w:p w:rsidR="001554C1" w:rsidRPr="00B563BF" w:rsidRDefault="001554C1"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(α) ότι το εκδοθέν κεφάλαιο της Εταιρίας Επενδύσεων Μεταβλητού Κεφαλαίου είναι μεταβλητό, και είναι ίσο προς την εκάστοτε καθαρή αξία του ενεργητικού της,</w:t>
            </w:r>
          </w:p>
          <w:p w:rsidR="001554C1" w:rsidRPr="00B563BF" w:rsidRDefault="001554C1"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(β) ότι το εκάστοτε κεφάλαιο της Εταιρίας Επενδύσεων Μεταβλητού Κεφαλαίου υποδιαιρείται σε αριθμό μετοχών χωρίς να αποδίδεται σε αυτές ονομαστική αξία</w:t>
            </w:r>
          </w:p>
          <w:p w:rsidR="001554C1" w:rsidRPr="00B563BF" w:rsidRDefault="001554C1"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και ότι η αξία τους είναι κυμαινόμενη, και</w:t>
            </w:r>
          </w:p>
          <w:p w:rsidR="001554C1" w:rsidRPr="00B563BF" w:rsidRDefault="001554C1"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(γ)</w:t>
            </w:r>
            <w:r w:rsidR="00BF37E4" w:rsidRPr="00B563BF">
              <w:rPr>
                <w:rFonts w:cstheme="minorHAnsi"/>
                <w:sz w:val="24"/>
                <w:szCs w:val="24"/>
                <w:lang w:val="el-GR"/>
              </w:rPr>
              <w:t xml:space="preserve"> </w:t>
            </w:r>
            <w:r w:rsidRPr="00B563BF">
              <w:rPr>
                <w:rFonts w:cstheme="minorHAnsi"/>
                <w:sz w:val="24"/>
                <w:szCs w:val="24"/>
                <w:lang w:val="el-GR"/>
              </w:rPr>
              <w:t xml:space="preserve">ότι οι μετοχές της Εταιρίας Επενδύσεων Μεταβλητού Κεφαλαίου εξαγοράζονται, κατ’ αίτηση των μετόχων από αυτή, άμεσα ή έμμεσα, από στοιχεία του ενεργητικού </w:t>
            </w:r>
            <w:r w:rsidR="002008E5" w:rsidRPr="00B563BF">
              <w:rPr>
                <w:rFonts w:cstheme="minorHAnsi"/>
                <w:sz w:val="24"/>
                <w:szCs w:val="24"/>
                <w:lang w:val="el-GR"/>
              </w:rPr>
              <w:t>της.</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BF37E4"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15</w:t>
            </w:r>
            <w:r w:rsidR="001554C1" w:rsidRPr="00B563BF">
              <w:rPr>
                <w:rFonts w:cstheme="minorHAnsi"/>
                <w:sz w:val="24"/>
                <w:szCs w:val="24"/>
                <w:lang w:val="el-GR"/>
              </w:rPr>
              <w:t>.</w:t>
            </w:r>
            <w:r w:rsidR="004A13A9" w:rsidRPr="00B563BF">
              <w:rPr>
                <w:rFonts w:cstheme="minorHAnsi"/>
                <w:sz w:val="24"/>
                <w:szCs w:val="24"/>
                <w:lang w:val="el-GR"/>
              </w:rPr>
              <w:t xml:space="preserve"> </w:t>
            </w:r>
            <w:r w:rsidR="001554C1" w:rsidRPr="00B563BF">
              <w:rPr>
                <w:rFonts w:cstheme="minorHAnsi"/>
                <w:sz w:val="24"/>
                <w:szCs w:val="24"/>
                <w:lang w:val="el-GR"/>
              </w:rPr>
              <w:t>Εφόσον η Εταιρία Επενδύσεων Μεταβλητού Κεφαλαίου ορίζει Εταιρία Διαχείρισης ή/ και Θεματοφύλακα, τα καταστατικά της έγγραφα καθορίζουν τη διαδικασία διορισμού της Εταιρίας Διαχείρισης ή/ και του Θεματοφύλακα</w:t>
            </w:r>
            <w:r w:rsidR="002008E5" w:rsidRPr="00B563BF">
              <w:rPr>
                <w:rFonts w:cstheme="minorHAnsi"/>
                <w:sz w:val="24"/>
                <w:szCs w:val="24"/>
                <w:lang w:val="el-GR"/>
              </w:rPr>
              <w:t>.</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BF37E4"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16</w:t>
            </w:r>
            <w:r w:rsidR="001554C1" w:rsidRPr="00B563BF">
              <w:rPr>
                <w:rFonts w:cstheme="minorHAnsi"/>
                <w:sz w:val="24"/>
                <w:szCs w:val="24"/>
                <w:lang w:val="el-GR"/>
              </w:rPr>
              <w:t>.</w:t>
            </w:r>
            <w:r w:rsidR="004A13A9" w:rsidRPr="00B563BF">
              <w:rPr>
                <w:rFonts w:cstheme="minorHAnsi"/>
                <w:sz w:val="24"/>
                <w:szCs w:val="24"/>
                <w:lang w:val="el-GR"/>
              </w:rPr>
              <w:t xml:space="preserve"> </w:t>
            </w:r>
            <w:r w:rsidR="001554C1" w:rsidRPr="00B563BF">
              <w:rPr>
                <w:rFonts w:cstheme="minorHAnsi"/>
                <w:sz w:val="24"/>
                <w:szCs w:val="24"/>
                <w:lang w:val="el-GR"/>
              </w:rPr>
              <w:t>Τα καταστατικά έγγραφα της Εταιρίας Επενδύσεων Μεταβλητού Κεφαλαίου δύνανται να περιλαμβάνουν εκτός των ανωτέρω και άλλες συμπληρωματικές ή συναφείς διατάξεις.</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F84A42"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w:t>
            </w:r>
            <w:r w:rsidR="00BF37E4" w:rsidRPr="00B563BF">
              <w:rPr>
                <w:rFonts w:cstheme="minorHAnsi"/>
                <w:sz w:val="24"/>
                <w:szCs w:val="24"/>
                <w:lang w:val="el-GR"/>
              </w:rPr>
              <w:t>7</w:t>
            </w:r>
            <w:r w:rsidR="001554C1" w:rsidRPr="00B563BF">
              <w:rPr>
                <w:rFonts w:cstheme="minorHAnsi"/>
                <w:sz w:val="24"/>
                <w:szCs w:val="24"/>
                <w:lang w:val="el-GR"/>
              </w:rPr>
              <w:t>.</w:t>
            </w:r>
            <w:r w:rsidR="004A13A9" w:rsidRPr="00B563BF">
              <w:rPr>
                <w:rFonts w:cstheme="minorHAnsi"/>
                <w:sz w:val="24"/>
                <w:szCs w:val="24"/>
                <w:lang w:val="el-GR"/>
              </w:rPr>
              <w:t xml:space="preserve"> </w:t>
            </w:r>
            <w:r w:rsidR="001554C1" w:rsidRPr="00B563BF">
              <w:rPr>
                <w:rFonts w:cstheme="minorHAnsi"/>
                <w:sz w:val="24"/>
                <w:szCs w:val="24"/>
                <w:lang w:val="el-GR"/>
              </w:rPr>
              <w:t>Η χρηματιστηριακή αγορά του άρθρου 35 (1)</w:t>
            </w:r>
            <w:r w:rsidR="00BB66DF" w:rsidRPr="00B563BF">
              <w:rPr>
                <w:rFonts w:cstheme="minorHAnsi"/>
                <w:sz w:val="24"/>
                <w:szCs w:val="24"/>
                <w:lang w:val="el-GR"/>
              </w:rPr>
              <w:t xml:space="preserve"> ή 35(4)</w:t>
            </w:r>
            <w:r w:rsidR="001554C1" w:rsidRPr="00B563BF">
              <w:rPr>
                <w:rFonts w:cstheme="minorHAnsi"/>
                <w:sz w:val="24"/>
                <w:szCs w:val="24"/>
                <w:lang w:val="el-GR"/>
              </w:rPr>
              <w:t xml:space="preserve"> μνημονεύεται στα καταστατικά έγγραφα της Εταιρείας Επενδύσεων Μεταβλητού Κεφαλαίου.</w:t>
            </w:r>
            <w:r w:rsidR="00776F7F" w:rsidRPr="00B563BF">
              <w:rPr>
                <w:rFonts w:cstheme="minorHAnsi"/>
                <w:sz w:val="24"/>
                <w:szCs w:val="24"/>
                <w:lang w:val="el-GR"/>
              </w:rPr>
              <w:t xml:space="preserve"> </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r w:rsidR="001554C1" w:rsidRPr="00275B90" w:rsidTr="002008E5">
        <w:trPr>
          <w:trHeight w:val="213"/>
        </w:trPr>
        <w:tc>
          <w:tcPr>
            <w:tcW w:w="6062" w:type="dxa"/>
          </w:tcPr>
          <w:p w:rsidR="001554C1" w:rsidRPr="00B563BF" w:rsidRDefault="00F84A42" w:rsidP="002008E5">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1</w:t>
            </w:r>
            <w:r w:rsidR="00BF37E4" w:rsidRPr="00B563BF">
              <w:rPr>
                <w:rFonts w:cstheme="minorHAnsi"/>
                <w:sz w:val="24"/>
                <w:szCs w:val="24"/>
                <w:lang w:val="el-GR"/>
              </w:rPr>
              <w:t>8</w:t>
            </w:r>
            <w:r w:rsidR="001554C1" w:rsidRPr="00B563BF">
              <w:rPr>
                <w:rFonts w:cstheme="minorHAnsi"/>
                <w:sz w:val="24"/>
                <w:szCs w:val="24"/>
                <w:lang w:val="el-GR"/>
              </w:rPr>
              <w:t>.</w:t>
            </w:r>
            <w:r w:rsidR="004A13A9" w:rsidRPr="00B563BF">
              <w:rPr>
                <w:rFonts w:cstheme="minorHAnsi"/>
                <w:b/>
                <w:sz w:val="24"/>
                <w:szCs w:val="24"/>
                <w:lang w:val="el-GR"/>
              </w:rPr>
              <w:t xml:space="preserve"> </w:t>
            </w:r>
            <w:r w:rsidR="001554C1" w:rsidRPr="00B563BF">
              <w:rPr>
                <w:rFonts w:cstheme="minorHAnsi"/>
                <w:sz w:val="24"/>
                <w:szCs w:val="24"/>
                <w:lang w:val="el-GR"/>
              </w:rPr>
              <w:t xml:space="preserve">Η Εταιρεία Επενδύσεων Μεταβλητού Κεφαλαίου του άρθρου 35 (1) </w:t>
            </w:r>
            <w:r w:rsidR="00BB66DF" w:rsidRPr="00B563BF">
              <w:rPr>
                <w:rFonts w:cstheme="minorHAnsi"/>
                <w:sz w:val="24"/>
                <w:szCs w:val="24"/>
                <w:lang w:val="el-GR"/>
              </w:rPr>
              <w:t xml:space="preserve">ή 35(4) </w:t>
            </w:r>
            <w:r w:rsidR="001554C1" w:rsidRPr="00B563BF">
              <w:rPr>
                <w:rFonts w:cstheme="minorHAnsi"/>
                <w:sz w:val="24"/>
                <w:szCs w:val="24"/>
                <w:lang w:val="el-GR"/>
              </w:rPr>
              <w:t>αναγράφει στα καταστατικά της έγγραφα τις μεθόδους υπολογισμού της καθαρής αξίας των μετοχών της.</w:t>
            </w:r>
            <w:r w:rsidR="00776F7F" w:rsidRPr="00B563BF">
              <w:rPr>
                <w:rFonts w:cstheme="minorHAnsi"/>
                <w:sz w:val="24"/>
                <w:szCs w:val="24"/>
                <w:lang w:val="el-GR"/>
              </w:rPr>
              <w:t xml:space="preserve"> </w:t>
            </w:r>
          </w:p>
        </w:tc>
        <w:tc>
          <w:tcPr>
            <w:tcW w:w="113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484"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c>
          <w:tcPr>
            <w:tcW w:w="1310" w:type="dxa"/>
          </w:tcPr>
          <w:p w:rsidR="001554C1" w:rsidRPr="00B563BF" w:rsidRDefault="001554C1" w:rsidP="002008E5">
            <w:pPr>
              <w:autoSpaceDE w:val="0"/>
              <w:autoSpaceDN w:val="0"/>
              <w:adjustRightInd w:val="0"/>
              <w:spacing w:after="0" w:line="240" w:lineRule="auto"/>
              <w:rPr>
                <w:rFonts w:cstheme="minorHAnsi"/>
                <w:sz w:val="24"/>
                <w:szCs w:val="24"/>
                <w:lang w:val="el-GR"/>
              </w:rPr>
            </w:pPr>
          </w:p>
        </w:tc>
      </w:tr>
    </w:tbl>
    <w:p w:rsidR="003C567C" w:rsidRPr="00B563BF" w:rsidRDefault="003C567C" w:rsidP="003C567C">
      <w:pPr>
        <w:tabs>
          <w:tab w:val="left" w:pos="2190"/>
        </w:tabs>
        <w:autoSpaceDE w:val="0"/>
        <w:autoSpaceDN w:val="0"/>
        <w:adjustRightInd w:val="0"/>
        <w:spacing w:after="0" w:line="240" w:lineRule="auto"/>
        <w:jc w:val="both"/>
        <w:rPr>
          <w:rFonts w:cstheme="minorHAnsi"/>
          <w:sz w:val="24"/>
          <w:szCs w:val="24"/>
          <w:lang w:val="el-GR"/>
        </w:rPr>
      </w:pPr>
    </w:p>
    <w:p w:rsidR="003C567C" w:rsidRPr="00B563BF" w:rsidRDefault="003C567C" w:rsidP="003C567C">
      <w:pPr>
        <w:tabs>
          <w:tab w:val="left" w:pos="2190"/>
        </w:tabs>
        <w:autoSpaceDE w:val="0"/>
        <w:autoSpaceDN w:val="0"/>
        <w:adjustRightInd w:val="0"/>
        <w:spacing w:after="0" w:line="240" w:lineRule="auto"/>
        <w:jc w:val="both"/>
        <w:rPr>
          <w:rFonts w:cstheme="minorHAnsi"/>
          <w:sz w:val="24"/>
          <w:szCs w:val="24"/>
          <w:lang w:val="el-GR"/>
        </w:rPr>
      </w:pPr>
    </w:p>
    <w:p w:rsidR="003C567C" w:rsidRPr="00B563BF" w:rsidRDefault="003C567C" w:rsidP="003C567C">
      <w:pPr>
        <w:tabs>
          <w:tab w:val="left" w:pos="2190"/>
        </w:tabs>
        <w:autoSpaceDE w:val="0"/>
        <w:autoSpaceDN w:val="0"/>
        <w:adjustRightInd w:val="0"/>
        <w:spacing w:after="0" w:line="240" w:lineRule="auto"/>
        <w:jc w:val="both"/>
        <w:rPr>
          <w:rFonts w:cstheme="minorHAnsi"/>
          <w:sz w:val="24"/>
          <w:szCs w:val="24"/>
          <w:u w:val="single"/>
          <w:lang w:val="el-GR"/>
        </w:rPr>
      </w:pPr>
    </w:p>
    <w:p w:rsidR="002008E5" w:rsidRPr="00B563BF" w:rsidRDefault="002008E5" w:rsidP="003C567C">
      <w:pPr>
        <w:tabs>
          <w:tab w:val="left" w:pos="2190"/>
        </w:tabs>
        <w:autoSpaceDE w:val="0"/>
        <w:autoSpaceDN w:val="0"/>
        <w:adjustRightInd w:val="0"/>
        <w:spacing w:after="0" w:line="240" w:lineRule="auto"/>
        <w:jc w:val="both"/>
        <w:rPr>
          <w:rFonts w:cstheme="minorHAnsi"/>
          <w:sz w:val="24"/>
          <w:szCs w:val="24"/>
          <w:highlight w:val="lightGray"/>
          <w:lang w:val="el-GR"/>
        </w:rPr>
      </w:pPr>
    </w:p>
    <w:p w:rsidR="003C567C" w:rsidRPr="00B563BF" w:rsidRDefault="003C567C" w:rsidP="003C567C">
      <w:pPr>
        <w:tabs>
          <w:tab w:val="left" w:pos="2190"/>
        </w:tabs>
        <w:autoSpaceDE w:val="0"/>
        <w:autoSpaceDN w:val="0"/>
        <w:adjustRightInd w:val="0"/>
        <w:spacing w:after="0" w:line="240" w:lineRule="auto"/>
        <w:jc w:val="both"/>
        <w:rPr>
          <w:rFonts w:cstheme="minorHAnsi"/>
          <w:sz w:val="24"/>
          <w:szCs w:val="24"/>
          <w:highlight w:val="lightGray"/>
          <w:lang w:val="el-GR"/>
        </w:rPr>
      </w:pPr>
    </w:p>
    <w:tbl>
      <w:tblPr>
        <w:tblpPr w:leftFromText="180" w:rightFromText="180" w:vertAnchor="text" w:horzAnchor="margin"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134"/>
        <w:gridCol w:w="1701"/>
        <w:gridCol w:w="1560"/>
      </w:tblGrid>
      <w:tr w:rsidR="003C567C" w:rsidRPr="000401D0" w:rsidTr="00CF4408">
        <w:trPr>
          <w:trHeight w:val="600"/>
        </w:trPr>
        <w:tc>
          <w:tcPr>
            <w:tcW w:w="5211" w:type="dxa"/>
            <w:shd w:val="clear" w:color="auto" w:fill="EEECE1" w:themeFill="background2"/>
          </w:tcPr>
          <w:p w:rsidR="003C567C" w:rsidRPr="00B563BF" w:rsidRDefault="002008E5" w:rsidP="003C567C">
            <w:pPr>
              <w:autoSpaceDE w:val="0"/>
              <w:autoSpaceDN w:val="0"/>
              <w:adjustRightInd w:val="0"/>
              <w:spacing w:after="0" w:line="240" w:lineRule="auto"/>
              <w:jc w:val="both"/>
              <w:rPr>
                <w:rFonts w:cstheme="minorHAnsi"/>
                <w:b/>
                <w:sz w:val="24"/>
                <w:szCs w:val="24"/>
                <w:lang w:val="el-GR"/>
              </w:rPr>
            </w:pPr>
            <w:r w:rsidRPr="00B563BF">
              <w:rPr>
                <w:rFonts w:cstheme="minorHAnsi"/>
                <w:b/>
                <w:sz w:val="24"/>
                <w:szCs w:val="24"/>
                <w:lang w:val="el-GR"/>
              </w:rPr>
              <w:lastRenderedPageBreak/>
              <w:t xml:space="preserve">ΙΙ. </w:t>
            </w:r>
            <w:r w:rsidR="003C567C" w:rsidRPr="00B563BF">
              <w:rPr>
                <w:rFonts w:cstheme="minorHAnsi"/>
                <w:b/>
                <w:sz w:val="24"/>
                <w:szCs w:val="24"/>
                <w:lang w:val="el-GR"/>
              </w:rPr>
              <w:t>Επιπλέον στοιχεία που πρέπει να περιλαμβάνονται στα Καταστατικά έγγραφα της ΕΕΜΚ βάσει Οδηγιών της Επιτροπής</w:t>
            </w:r>
          </w:p>
          <w:p w:rsidR="002008E5" w:rsidRPr="00B563BF" w:rsidRDefault="002008E5" w:rsidP="003C567C">
            <w:pPr>
              <w:autoSpaceDE w:val="0"/>
              <w:autoSpaceDN w:val="0"/>
              <w:adjustRightInd w:val="0"/>
              <w:spacing w:after="0" w:line="240" w:lineRule="auto"/>
              <w:jc w:val="both"/>
              <w:rPr>
                <w:rFonts w:cstheme="minorHAnsi"/>
                <w:b/>
                <w:sz w:val="24"/>
                <w:szCs w:val="24"/>
                <w:lang w:val="el-GR"/>
              </w:rPr>
            </w:pPr>
          </w:p>
        </w:tc>
        <w:tc>
          <w:tcPr>
            <w:tcW w:w="1134" w:type="dxa"/>
          </w:tcPr>
          <w:p w:rsidR="003C567C" w:rsidRPr="000401D0" w:rsidRDefault="003C567C" w:rsidP="00117359">
            <w:pPr>
              <w:autoSpaceDE w:val="0"/>
              <w:autoSpaceDN w:val="0"/>
              <w:adjustRightInd w:val="0"/>
              <w:spacing w:after="0" w:line="240" w:lineRule="auto"/>
              <w:jc w:val="center"/>
              <w:rPr>
                <w:rFonts w:cstheme="minorHAnsi"/>
                <w:b/>
                <w:sz w:val="24"/>
                <w:szCs w:val="24"/>
              </w:rPr>
            </w:pPr>
            <w:proofErr w:type="spellStart"/>
            <w:r w:rsidRPr="000401D0">
              <w:rPr>
                <w:rFonts w:cstheme="minorHAnsi"/>
                <w:b/>
                <w:sz w:val="24"/>
                <w:szCs w:val="24"/>
              </w:rPr>
              <w:t>Σελίδ</w:t>
            </w:r>
            <w:proofErr w:type="spellEnd"/>
            <w:r w:rsidRPr="000401D0">
              <w:rPr>
                <w:rFonts w:cstheme="minorHAnsi"/>
                <w:b/>
                <w:sz w:val="24"/>
                <w:szCs w:val="24"/>
              </w:rPr>
              <w:t>α</w:t>
            </w:r>
          </w:p>
        </w:tc>
        <w:tc>
          <w:tcPr>
            <w:tcW w:w="1701" w:type="dxa"/>
          </w:tcPr>
          <w:p w:rsidR="003C567C" w:rsidRPr="000401D0" w:rsidRDefault="003C567C" w:rsidP="00117359">
            <w:pPr>
              <w:autoSpaceDE w:val="0"/>
              <w:autoSpaceDN w:val="0"/>
              <w:adjustRightInd w:val="0"/>
              <w:spacing w:after="0" w:line="240" w:lineRule="auto"/>
              <w:jc w:val="center"/>
              <w:rPr>
                <w:rFonts w:cstheme="minorHAnsi"/>
                <w:b/>
                <w:sz w:val="24"/>
                <w:szCs w:val="24"/>
              </w:rPr>
            </w:pPr>
            <w:r w:rsidRPr="000401D0">
              <w:rPr>
                <w:rFonts w:cstheme="minorHAnsi"/>
                <w:b/>
                <w:sz w:val="24"/>
                <w:szCs w:val="24"/>
              </w:rPr>
              <w:t>Πα</w:t>
            </w:r>
            <w:proofErr w:type="spellStart"/>
            <w:r w:rsidRPr="000401D0">
              <w:rPr>
                <w:rFonts w:cstheme="minorHAnsi"/>
                <w:b/>
                <w:sz w:val="24"/>
                <w:szCs w:val="24"/>
              </w:rPr>
              <w:t>ράγρ</w:t>
            </w:r>
            <w:proofErr w:type="spellEnd"/>
            <w:r w:rsidRPr="000401D0">
              <w:rPr>
                <w:rFonts w:cstheme="minorHAnsi"/>
                <w:b/>
                <w:sz w:val="24"/>
                <w:szCs w:val="24"/>
              </w:rPr>
              <w:t>αφος</w:t>
            </w:r>
          </w:p>
        </w:tc>
        <w:tc>
          <w:tcPr>
            <w:tcW w:w="1560" w:type="dxa"/>
          </w:tcPr>
          <w:p w:rsidR="003C567C" w:rsidRPr="000401D0" w:rsidRDefault="003C567C" w:rsidP="00117359">
            <w:pPr>
              <w:autoSpaceDE w:val="0"/>
              <w:autoSpaceDN w:val="0"/>
              <w:adjustRightInd w:val="0"/>
              <w:spacing w:after="0" w:line="240" w:lineRule="auto"/>
              <w:jc w:val="center"/>
              <w:rPr>
                <w:rFonts w:cstheme="minorHAnsi"/>
                <w:b/>
                <w:sz w:val="24"/>
                <w:szCs w:val="24"/>
              </w:rPr>
            </w:pPr>
            <w:proofErr w:type="spellStart"/>
            <w:r w:rsidRPr="000401D0">
              <w:rPr>
                <w:rFonts w:cstheme="minorHAnsi"/>
                <w:b/>
                <w:sz w:val="24"/>
                <w:szCs w:val="24"/>
              </w:rPr>
              <w:t>Γι</w:t>
            </w:r>
            <w:proofErr w:type="spellEnd"/>
            <w:r w:rsidRPr="000401D0">
              <w:rPr>
                <w:rFonts w:cstheme="minorHAnsi"/>
                <w:b/>
                <w:sz w:val="24"/>
                <w:szCs w:val="24"/>
              </w:rPr>
              <w:t>α επ</w:t>
            </w:r>
            <w:proofErr w:type="spellStart"/>
            <w:r w:rsidRPr="000401D0">
              <w:rPr>
                <w:rFonts w:cstheme="minorHAnsi"/>
                <w:b/>
                <w:sz w:val="24"/>
                <w:szCs w:val="24"/>
              </w:rPr>
              <w:t>ίσημη</w:t>
            </w:r>
            <w:proofErr w:type="spellEnd"/>
            <w:r w:rsidRPr="000401D0">
              <w:rPr>
                <w:rFonts w:cstheme="minorHAnsi"/>
                <w:b/>
                <w:sz w:val="24"/>
                <w:szCs w:val="24"/>
              </w:rPr>
              <w:t xml:space="preserve"> </w:t>
            </w:r>
            <w:proofErr w:type="spellStart"/>
            <w:r w:rsidRPr="000401D0">
              <w:rPr>
                <w:rFonts w:cstheme="minorHAnsi"/>
                <w:b/>
                <w:sz w:val="24"/>
                <w:szCs w:val="24"/>
              </w:rPr>
              <w:t>χρήση</w:t>
            </w:r>
            <w:proofErr w:type="spellEnd"/>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theme="minorHAnsi"/>
                <w:bCs/>
                <w:sz w:val="24"/>
                <w:szCs w:val="24"/>
                <w:u w:val="single"/>
                <w:lang w:val="el-GR"/>
              </w:rPr>
            </w:pPr>
            <w:r w:rsidRPr="00B563BF">
              <w:rPr>
                <w:rFonts w:cstheme="minorHAnsi"/>
                <w:bCs/>
                <w:sz w:val="24"/>
                <w:szCs w:val="24"/>
                <w:u w:val="single"/>
                <w:lang w:val="el-GR"/>
              </w:rPr>
              <w:t xml:space="preserve">Οδηγία ΟΔ78-2012-08 για την εξειδίκευση των θεμάτων που αποτελούν το υποχρεωτικό περιεχόμενο του κανονισμού του Αμοιβαίου Κεφαλαίου και των καταστατικών εγγράφων της Εταιρίας Επενδύσεων Μεταβλητού Κεφαλαίου. </w:t>
            </w:r>
          </w:p>
          <w:p w:rsidR="002E128B" w:rsidRPr="00B563BF" w:rsidRDefault="002E128B" w:rsidP="002E128B">
            <w:pPr>
              <w:autoSpaceDE w:val="0"/>
              <w:autoSpaceDN w:val="0"/>
              <w:adjustRightInd w:val="0"/>
              <w:jc w:val="both"/>
              <w:rPr>
                <w:rFonts w:cstheme="minorHAnsi"/>
                <w:bCs/>
                <w:sz w:val="24"/>
                <w:szCs w:val="24"/>
                <w:lang w:val="el-GR"/>
              </w:rPr>
            </w:pPr>
            <w:r w:rsidRPr="00B563BF">
              <w:rPr>
                <w:rFonts w:cstheme="minorHAnsi"/>
                <w:bCs/>
                <w:sz w:val="24"/>
                <w:szCs w:val="24"/>
                <w:lang w:val="el-GR"/>
              </w:rPr>
              <w:t>Τηρουμένων των διατάξεων των παραγράφων  (4) και (5) της Οδηγίας θα πρέπει στον Κανονισμός να περιλαμβάνει τα εξής:</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theme="minorHAnsi"/>
                <w:bCs/>
                <w:sz w:val="24"/>
                <w:szCs w:val="24"/>
                <w:u w:val="single"/>
                <w:lang w:val="el-GR"/>
              </w:rPr>
            </w:pPr>
            <w:r w:rsidRPr="00B563BF">
              <w:rPr>
                <w:rFonts w:cs="Arial"/>
                <w:sz w:val="24"/>
                <w:szCs w:val="24"/>
                <w:lang w:val="el-GR"/>
              </w:rPr>
              <w:t>Παράγραφος 6. Αναγραφή επιτρεπόμενων παρεκκλίσεων από το Νόμο ή τις Οδηγίες της Επιτροπής Κεφαλαιαγοράς.</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7. Εξειδίκευση της ονομασίας ή της επωνυμίας του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8. Εξειδίκευση του σκοπού και της επενδυτικής πολιτικής του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9. Νόμισμα αναφοράς του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10. Εξειδίκευση των κανόνων αποτίμησης των στοιχείων του ενεργητικού του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11. Εξειδίκευση των κανόνων για τους όρους έκδοσης, διάθεσης και αναστολής εξαγοράς μεριδίων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12. Εξειδίκευση των κανόνων για τις αμοιβές ή τις προμήθειες της Εταιρίας Διαχείρισης και του Θεματοφύλακα.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13. Εξειδίκευση των κανόνων για τις δαπάνες και τα έξοδα του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Arial"/>
                <w:sz w:val="24"/>
                <w:szCs w:val="24"/>
                <w:lang w:val="el-GR"/>
              </w:rPr>
            </w:pPr>
            <w:r w:rsidRPr="00B563BF">
              <w:rPr>
                <w:rFonts w:cs="Arial"/>
                <w:sz w:val="24"/>
                <w:szCs w:val="24"/>
                <w:lang w:val="el-GR"/>
              </w:rPr>
              <w:t>Παράγραφος 14. Εξειδίκευση των κανόνων για τη διανομή των κερδών και λοιπών προσόδων του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theme="minorHAnsi"/>
                <w:bCs/>
                <w:sz w:val="24"/>
                <w:szCs w:val="24"/>
                <w:u w:val="single"/>
                <w:lang w:val="el-GR"/>
              </w:rPr>
            </w:pPr>
            <w:r w:rsidRPr="00B563BF">
              <w:rPr>
                <w:rFonts w:cs="Arial"/>
                <w:sz w:val="24"/>
                <w:szCs w:val="24"/>
                <w:lang w:val="el-GR"/>
              </w:rPr>
              <w:lastRenderedPageBreak/>
              <w:t>Παράγραφος 15. Εξειδίκευση των κανόνων για τους λόγους διάλυσης του ΟΣΕΚΑ.</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theme="minorHAnsi"/>
                <w:bCs/>
                <w:sz w:val="24"/>
                <w:szCs w:val="24"/>
                <w:u w:val="single"/>
                <w:lang w:val="el-GR"/>
              </w:rPr>
            </w:pPr>
            <w:r w:rsidRPr="00B563BF">
              <w:rPr>
                <w:rFonts w:cs="Arial"/>
                <w:sz w:val="24"/>
                <w:szCs w:val="24"/>
                <w:lang w:val="el-GR"/>
              </w:rPr>
              <w:t>Παράγραφος 16. Εξειδίκευση κανόνων ειδικά για τα καταστατικά έγγραφα της Εταιρίας Επενδύσεων Μεταβλητού Κεφαλαίου</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spacing w:after="0" w:line="240" w:lineRule="auto"/>
              <w:jc w:val="both"/>
              <w:rPr>
                <w:rFonts w:cstheme="minorHAnsi"/>
                <w:bCs/>
                <w:sz w:val="24"/>
                <w:szCs w:val="24"/>
                <w:u w:val="single"/>
                <w:lang w:val="el-GR"/>
              </w:rPr>
            </w:pPr>
            <w:r w:rsidRPr="00B563BF">
              <w:rPr>
                <w:rFonts w:cstheme="minorHAnsi"/>
                <w:bCs/>
                <w:sz w:val="24"/>
                <w:szCs w:val="24"/>
                <w:u w:val="single"/>
                <w:lang w:val="el-GR"/>
              </w:rPr>
              <w:t xml:space="preserve">Οδηγία </w:t>
            </w:r>
            <w:r w:rsidR="000F5442" w:rsidRPr="00B563BF">
              <w:rPr>
                <w:rFonts w:cstheme="minorHAnsi"/>
                <w:bCs/>
                <w:sz w:val="24"/>
                <w:szCs w:val="24"/>
                <w:u w:val="single"/>
                <w:lang w:val="el-GR"/>
              </w:rPr>
              <w:t xml:space="preserve"> ΟΔ78-2012-11 </w:t>
            </w:r>
            <w:r w:rsidRPr="00B563BF">
              <w:rPr>
                <w:rFonts w:cstheme="minorHAnsi"/>
                <w:bCs/>
                <w:sz w:val="24"/>
                <w:szCs w:val="24"/>
                <w:u w:val="single"/>
                <w:lang w:val="el-GR"/>
              </w:rPr>
              <w:t>για τους</w:t>
            </w:r>
            <w:r w:rsidRPr="00B563BF">
              <w:rPr>
                <w:rFonts w:cstheme="minorHAnsi"/>
                <w:sz w:val="24"/>
                <w:szCs w:val="24"/>
                <w:u w:val="single"/>
                <w:lang w:val="el-GR"/>
              </w:rPr>
              <w:t xml:space="preserve"> όρους και τη διαδικασία διάθεσης μεριδίων ΟΣΕΚΑ στο έδαφος της Δημοκρατίας, την οργάνωση του δικτύου διάθεσης και τις υποχρεώσεις των προσώπων που μετέχουν στο δίκτυο</w:t>
            </w:r>
            <w:r w:rsidRPr="00B563BF">
              <w:rPr>
                <w:rFonts w:cstheme="minorHAnsi"/>
                <w:bCs/>
                <w:sz w:val="24"/>
                <w:szCs w:val="24"/>
                <w:u w:val="single"/>
                <w:lang w:val="el-GR"/>
              </w:rPr>
              <w:t xml:space="preserve">. </w:t>
            </w:r>
          </w:p>
          <w:p w:rsidR="002E128B" w:rsidRPr="00B563BF" w:rsidRDefault="002E128B" w:rsidP="002E128B">
            <w:pPr>
              <w:autoSpaceDE w:val="0"/>
              <w:autoSpaceDN w:val="0"/>
              <w:adjustRightInd w:val="0"/>
              <w:spacing w:after="0" w:line="240" w:lineRule="auto"/>
              <w:jc w:val="both"/>
              <w:rPr>
                <w:rFonts w:cstheme="minorHAnsi"/>
                <w:sz w:val="24"/>
                <w:szCs w:val="24"/>
                <w:u w:val="single"/>
                <w:lang w:val="el-GR"/>
              </w:rPr>
            </w:pPr>
          </w:p>
          <w:p w:rsidR="002E128B" w:rsidRPr="00B563BF" w:rsidRDefault="002E128B" w:rsidP="002E128B">
            <w:pPr>
              <w:autoSpaceDE w:val="0"/>
              <w:autoSpaceDN w:val="0"/>
              <w:adjustRightInd w:val="0"/>
              <w:jc w:val="both"/>
              <w:rPr>
                <w:rFonts w:cstheme="minorHAnsi"/>
                <w:b/>
                <w:sz w:val="24"/>
                <w:szCs w:val="24"/>
                <w:highlight w:val="yellow"/>
                <w:lang w:val="el-GR"/>
              </w:rPr>
            </w:pPr>
            <w:r w:rsidRPr="00B563BF">
              <w:rPr>
                <w:rFonts w:cstheme="minorHAnsi"/>
                <w:sz w:val="24"/>
                <w:szCs w:val="24"/>
                <w:lang w:val="el-GR"/>
              </w:rPr>
              <w:t>Παράγραφος</w:t>
            </w:r>
            <w:r w:rsidRPr="00B563BF">
              <w:rPr>
                <w:rFonts w:cstheme="minorHAnsi"/>
                <w:bCs/>
                <w:sz w:val="24"/>
                <w:szCs w:val="24"/>
                <w:lang w:val="el-GR"/>
              </w:rPr>
              <w:t xml:space="preserve"> 12. Τα καταστατικά έγγραφα ΟΣΕΚΑ, πρέπει να αναφέρουν με ευκρινή στοιχεία και σε ευχερώς ορατό σημείο ότι η επένδυση σε μερίδια ΟΣΕΚΑ δεν έχει εγγυημένη απόδοση και οι προηγούμενες αποδόσεις δεν διασφαλίζουν τις μελλοντικές. Σε περίπτωση ΟΣΕΚΑ εγγυημένης απόδοσης, η ανωτέρω αναφορά θα περιορίζεται στο γεγονός ότι οι προηγούμενες αποδόσεις δεν διασφαλίζουν τις μελλοντικές</w:t>
            </w:r>
            <w:r w:rsidRPr="00B563BF">
              <w:rPr>
                <w:rFonts w:cstheme="minorHAnsi"/>
                <w:b/>
                <w:bCs/>
                <w:sz w:val="24"/>
                <w:szCs w:val="24"/>
                <w:lang w:val="el-GR"/>
              </w:rPr>
              <w:t>.</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FD4C2D" w:rsidP="00FD4C2D">
            <w:pPr>
              <w:autoSpaceDE w:val="0"/>
              <w:autoSpaceDN w:val="0"/>
              <w:adjustRightInd w:val="0"/>
              <w:spacing w:after="0" w:line="240" w:lineRule="auto"/>
              <w:jc w:val="both"/>
              <w:rPr>
                <w:rFonts w:cstheme="minorHAnsi"/>
                <w:color w:val="000000"/>
                <w:sz w:val="24"/>
                <w:szCs w:val="24"/>
                <w:u w:val="single"/>
                <w:lang w:val="el-GR"/>
              </w:rPr>
            </w:pPr>
            <w:r w:rsidRPr="00B563BF">
              <w:rPr>
                <w:rFonts w:cstheme="minorHAnsi"/>
                <w:bCs/>
                <w:color w:val="000000"/>
                <w:sz w:val="24"/>
                <w:szCs w:val="24"/>
                <w:u w:val="single"/>
                <w:lang w:val="el-GR"/>
              </w:rPr>
              <w:t xml:space="preserve">Οδηγία ΟΔ78-2012-17 όσον αφορά </w:t>
            </w:r>
            <w:r w:rsidRPr="00B563BF">
              <w:rPr>
                <w:rFonts w:cstheme="minorHAnsi"/>
                <w:sz w:val="24"/>
                <w:szCs w:val="24"/>
                <w:u w:val="single"/>
                <w:lang w:val="el-GR"/>
              </w:rPr>
              <w:t>τις ειδικές υποχρεώσεις που βαρύνουν την Εταιρία Επενδύσεων Μεταβλητού Κεφαλαίου εξαιτίας της εισαγωγής των μετοχών της σε χρηματιστηριακή αγορά.</w:t>
            </w:r>
            <w:r w:rsidRPr="00B563BF">
              <w:rPr>
                <w:rFonts w:cstheme="minorHAnsi"/>
                <w:bCs/>
                <w:color w:val="000000"/>
                <w:sz w:val="24"/>
                <w:szCs w:val="24"/>
                <w:u w:val="single"/>
                <w:lang w:val="el-GR"/>
              </w:rPr>
              <w:t xml:space="preserve"> </w:t>
            </w:r>
          </w:p>
          <w:p w:rsidR="00FD4C2D" w:rsidRPr="00B563BF" w:rsidRDefault="00FD4C2D" w:rsidP="00FD4C2D">
            <w:pPr>
              <w:autoSpaceDE w:val="0"/>
              <w:autoSpaceDN w:val="0"/>
              <w:adjustRightInd w:val="0"/>
              <w:spacing w:after="0" w:line="240" w:lineRule="auto"/>
              <w:jc w:val="both"/>
              <w:rPr>
                <w:rFonts w:cstheme="minorHAnsi"/>
                <w:sz w:val="24"/>
                <w:szCs w:val="24"/>
                <w:lang w:val="el-GR"/>
              </w:rPr>
            </w:pPr>
          </w:p>
          <w:p w:rsidR="00FD4C2D" w:rsidRPr="00B563BF" w:rsidRDefault="00FD4C2D" w:rsidP="00FD4C2D">
            <w:pPr>
              <w:autoSpaceDE w:val="0"/>
              <w:autoSpaceDN w:val="0"/>
              <w:adjustRightInd w:val="0"/>
              <w:jc w:val="both"/>
              <w:rPr>
                <w:rFonts w:cstheme="minorHAnsi"/>
                <w:bCs/>
                <w:sz w:val="24"/>
                <w:szCs w:val="24"/>
                <w:u w:val="single"/>
                <w:lang w:val="el-GR"/>
              </w:rPr>
            </w:pPr>
            <w:r w:rsidRPr="00B563BF">
              <w:rPr>
                <w:rFonts w:cstheme="minorHAnsi"/>
                <w:sz w:val="24"/>
                <w:szCs w:val="24"/>
                <w:lang w:val="el-GR"/>
              </w:rPr>
              <w:t>Παράγραφος 4(3)(β). Τα καταστατικά της έγγραφα προβλέπουν τη δυνατότητα εισαγωγής των μετοχών της σε χρηματιστηριακή αγορά και έχει ληφθεί απόφαση για την εισαγωγή της σε χρηματιστηριακή αγορά σύμφωνα με το Νόμο και τα οριζόμενα στα καταστατικά της έγγραφα.</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0F7227" w:rsidRPr="00275B90" w:rsidTr="00117359">
        <w:trPr>
          <w:trHeight w:val="600"/>
        </w:trPr>
        <w:tc>
          <w:tcPr>
            <w:tcW w:w="5211" w:type="dxa"/>
          </w:tcPr>
          <w:p w:rsidR="000F7227" w:rsidRPr="00B563BF" w:rsidRDefault="000F7227" w:rsidP="000F7227">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Παράγραφος 5. Τα καταστατικά έγγραφα Εταιρίας Επενδύσεων Μεταβλητού Κεφαλαίου οι μετοχές της οποίας πρόκειται να αποτελέσουν αντικείμενο εισαγωγής σε χρηματιστηριακή αγορά, επιπλέον των στοιχείων που μνημονεύονται στο άρθρο 33 του Νόμου, κατά περίπτωση, αναφέρουν:</w:t>
            </w:r>
          </w:p>
          <w:p w:rsidR="000F7227" w:rsidRPr="00B563BF" w:rsidRDefault="000F7227" w:rsidP="00FD4C2D">
            <w:pPr>
              <w:autoSpaceDE w:val="0"/>
              <w:autoSpaceDN w:val="0"/>
              <w:adjustRightInd w:val="0"/>
              <w:spacing w:after="0" w:line="240" w:lineRule="auto"/>
              <w:jc w:val="both"/>
              <w:rPr>
                <w:rFonts w:cstheme="minorHAnsi"/>
                <w:sz w:val="24"/>
                <w:szCs w:val="24"/>
                <w:lang w:val="el-GR"/>
              </w:rPr>
            </w:pPr>
          </w:p>
        </w:tc>
        <w:tc>
          <w:tcPr>
            <w:tcW w:w="1134" w:type="dxa"/>
          </w:tcPr>
          <w:p w:rsidR="000F7227" w:rsidRPr="00B563BF" w:rsidRDefault="000F7227" w:rsidP="002E128B">
            <w:pPr>
              <w:autoSpaceDE w:val="0"/>
              <w:autoSpaceDN w:val="0"/>
              <w:adjustRightInd w:val="0"/>
              <w:spacing w:after="0" w:line="240" w:lineRule="auto"/>
              <w:jc w:val="center"/>
              <w:rPr>
                <w:rFonts w:cstheme="minorHAnsi"/>
                <w:b/>
                <w:sz w:val="24"/>
                <w:szCs w:val="24"/>
                <w:lang w:val="el-GR"/>
              </w:rPr>
            </w:pPr>
          </w:p>
        </w:tc>
        <w:tc>
          <w:tcPr>
            <w:tcW w:w="1701" w:type="dxa"/>
          </w:tcPr>
          <w:p w:rsidR="000F7227" w:rsidRPr="00B563BF" w:rsidRDefault="000F7227" w:rsidP="002E128B">
            <w:pPr>
              <w:autoSpaceDE w:val="0"/>
              <w:autoSpaceDN w:val="0"/>
              <w:adjustRightInd w:val="0"/>
              <w:spacing w:after="0" w:line="240" w:lineRule="auto"/>
              <w:jc w:val="center"/>
              <w:rPr>
                <w:rFonts w:cstheme="minorHAnsi"/>
                <w:b/>
                <w:sz w:val="24"/>
                <w:szCs w:val="24"/>
                <w:lang w:val="el-GR"/>
              </w:rPr>
            </w:pPr>
          </w:p>
        </w:tc>
        <w:tc>
          <w:tcPr>
            <w:tcW w:w="1560" w:type="dxa"/>
          </w:tcPr>
          <w:p w:rsidR="000F7227" w:rsidRPr="00B563BF" w:rsidRDefault="000F7227"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FD4C2D" w:rsidP="00FD4C2D">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 xml:space="preserve">(α) Τη χρηματιστηριακή αγορά στην οποία οι μετοχές της θα αποτελέσουν αντικείμενο </w:t>
            </w:r>
            <w:r w:rsidRPr="00B563BF">
              <w:rPr>
                <w:rFonts w:cstheme="minorHAnsi"/>
                <w:sz w:val="24"/>
                <w:szCs w:val="24"/>
                <w:lang w:val="el-GR"/>
              </w:rPr>
              <w:lastRenderedPageBreak/>
              <w:t>εισαγωγής και</w:t>
            </w:r>
          </w:p>
          <w:p w:rsidR="00FD4C2D" w:rsidRPr="00B563BF" w:rsidRDefault="00FD4C2D" w:rsidP="00FD4C2D">
            <w:pPr>
              <w:autoSpaceDE w:val="0"/>
              <w:autoSpaceDN w:val="0"/>
              <w:adjustRightInd w:val="0"/>
              <w:spacing w:after="0" w:line="240" w:lineRule="auto"/>
              <w:jc w:val="both"/>
              <w:rPr>
                <w:rFonts w:cstheme="minorHAnsi"/>
                <w:sz w:val="24"/>
                <w:szCs w:val="24"/>
                <w:lang w:val="el-GR"/>
              </w:rPr>
            </w:pP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FD4C2D" w:rsidP="00FD4C2D">
            <w:pPr>
              <w:autoSpaceDE w:val="0"/>
              <w:autoSpaceDN w:val="0"/>
              <w:adjustRightInd w:val="0"/>
              <w:jc w:val="both"/>
              <w:rPr>
                <w:rFonts w:cstheme="minorHAnsi"/>
                <w:bCs/>
                <w:sz w:val="24"/>
                <w:szCs w:val="24"/>
                <w:u w:val="single"/>
                <w:lang w:val="el-GR"/>
              </w:rPr>
            </w:pPr>
            <w:r w:rsidRPr="00B563BF">
              <w:rPr>
                <w:rFonts w:cstheme="minorHAnsi"/>
                <w:sz w:val="24"/>
                <w:szCs w:val="24"/>
                <w:lang w:val="el-GR"/>
              </w:rPr>
              <w:lastRenderedPageBreak/>
              <w:t>(β) Το μέγιστο επιτρεπόμενο ποσοστό απόκλισης της τιμής της μετοχής που διαμορφώνεται στη χρηματιστηριακή αγορά σε σχέση με την καθαρή τους αξία, χωρίς αυτό το ποσοστό να μπορεί να υπερβαίνει το 5%.</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FD4C2D" w:rsidP="00FD4C2D">
            <w:pPr>
              <w:autoSpaceDE w:val="0"/>
              <w:autoSpaceDN w:val="0"/>
              <w:adjustRightInd w:val="0"/>
              <w:jc w:val="both"/>
              <w:rPr>
                <w:rFonts w:cstheme="minorHAnsi"/>
                <w:bCs/>
                <w:sz w:val="24"/>
                <w:szCs w:val="24"/>
                <w:u w:val="single"/>
                <w:lang w:val="el-GR"/>
              </w:rPr>
            </w:pPr>
            <w:r w:rsidRPr="00B563BF">
              <w:rPr>
                <w:rFonts w:cstheme="minorHAnsi"/>
                <w:bCs/>
                <w:sz w:val="24"/>
                <w:szCs w:val="24"/>
                <w:u w:val="single"/>
                <w:lang w:val="el-GR"/>
              </w:rPr>
              <w:t xml:space="preserve">Οδηγία </w:t>
            </w:r>
            <w:r w:rsidRPr="00B563BF">
              <w:rPr>
                <w:u w:val="single"/>
                <w:lang w:val="el-GR"/>
              </w:rPr>
              <w:t xml:space="preserve"> </w:t>
            </w:r>
            <w:r w:rsidRPr="00B563BF">
              <w:rPr>
                <w:rFonts w:cstheme="minorHAnsi"/>
                <w:bCs/>
                <w:sz w:val="24"/>
                <w:szCs w:val="24"/>
                <w:u w:val="single"/>
                <w:lang w:val="el-GR"/>
              </w:rPr>
              <w:t>ΟΔ78-2012-18 σχετικά με τους ΟΣΕΚΑ εγγυημένου κεφαλαίου ή εγγυημένης απόδοσης ή τους ΟΣΕΚΑ με προστασία του επενδυόμενου κεφαλαίου</w:t>
            </w:r>
          </w:p>
          <w:p w:rsidR="00FD4C2D" w:rsidRPr="00B563BF" w:rsidRDefault="00FD4C2D" w:rsidP="00FD4C2D">
            <w:pPr>
              <w:autoSpaceDE w:val="0"/>
              <w:autoSpaceDN w:val="0"/>
              <w:adjustRightInd w:val="0"/>
              <w:jc w:val="both"/>
              <w:rPr>
                <w:rFonts w:cstheme="minorHAnsi"/>
                <w:bCs/>
                <w:sz w:val="24"/>
                <w:szCs w:val="24"/>
                <w:u w:val="single"/>
                <w:lang w:val="el-GR"/>
              </w:rPr>
            </w:pPr>
            <w:r w:rsidRPr="00B563BF">
              <w:rPr>
                <w:rFonts w:cstheme="minorHAnsi"/>
                <w:sz w:val="24"/>
                <w:szCs w:val="24"/>
                <w:lang w:val="el-GR"/>
              </w:rPr>
              <w:t>Παράγραφος 9(1). Τα καταστατικά έγγραφα του ΟΣΕΚΑ εγγυημένου κεφαλαίου ή εγγυημένης απόδοσης αναγράφουν, επιπλέον των στοιχείων που μνημονεύονται στα άρθρα 26 και 33 του Νόμου, κατά περίπτωση, τουλάχιστον:</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0F7227" w:rsidP="002E128B">
            <w:pPr>
              <w:autoSpaceDE w:val="0"/>
              <w:autoSpaceDN w:val="0"/>
              <w:adjustRightInd w:val="0"/>
              <w:jc w:val="both"/>
              <w:rPr>
                <w:rFonts w:cstheme="minorHAnsi"/>
                <w:bCs/>
                <w:sz w:val="24"/>
                <w:szCs w:val="24"/>
                <w:u w:val="single"/>
                <w:lang w:val="el-GR"/>
              </w:rPr>
            </w:pPr>
            <w:r w:rsidRPr="00B563BF">
              <w:rPr>
                <w:rFonts w:cstheme="minorHAnsi"/>
                <w:lang w:val="el-GR"/>
              </w:rPr>
              <w:t>(α) το πιστωτικό ίδρυμα που παρέχει την εγγύηση,</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0F7227" w:rsidP="002E128B">
            <w:pPr>
              <w:autoSpaceDE w:val="0"/>
              <w:autoSpaceDN w:val="0"/>
              <w:adjustRightInd w:val="0"/>
              <w:jc w:val="both"/>
              <w:rPr>
                <w:rFonts w:cstheme="minorHAnsi"/>
                <w:bCs/>
                <w:sz w:val="24"/>
                <w:szCs w:val="24"/>
                <w:u w:val="single"/>
                <w:lang w:val="el-GR"/>
              </w:rPr>
            </w:pPr>
            <w:r w:rsidRPr="00B563BF">
              <w:rPr>
                <w:rFonts w:cstheme="minorHAnsi"/>
                <w:sz w:val="24"/>
                <w:szCs w:val="24"/>
                <w:lang w:val="el-GR"/>
              </w:rPr>
              <w:t>(β) την έκταση και το χρόνο ισχύος της εγγύησης, με ειδική ένδειξη εάν η εγγύηση παρέχεται στον ΟΣΕΚΑ ή απευθείας στο μεριδιούχο,</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0F7227" w:rsidP="002E128B">
            <w:pPr>
              <w:autoSpaceDE w:val="0"/>
              <w:autoSpaceDN w:val="0"/>
              <w:adjustRightInd w:val="0"/>
              <w:jc w:val="both"/>
              <w:rPr>
                <w:rFonts w:cstheme="minorHAnsi"/>
                <w:bCs/>
                <w:sz w:val="24"/>
                <w:szCs w:val="24"/>
                <w:u w:val="single"/>
                <w:lang w:val="el-GR"/>
              </w:rPr>
            </w:pPr>
            <w:r w:rsidRPr="00B563BF">
              <w:rPr>
                <w:rFonts w:cstheme="minorHAnsi"/>
                <w:sz w:val="24"/>
                <w:szCs w:val="24"/>
                <w:lang w:val="el-GR"/>
              </w:rPr>
              <w:t>(γ) τον τυχόν δείκτη αναφοράς, με βάση τον οποίο θα υπολογίζεται το οφειλόμενο ποσό της εγγύησης της απόδοσης του ΟΣΕΚΑ και ο οποίος θα είναι επαρκώς διαφοροποιημένος και κατάλληλος για την οικεία αγορά, θα δημοσιεύεται δε κατάλληλα,</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0F7227" w:rsidP="002E128B">
            <w:pPr>
              <w:autoSpaceDE w:val="0"/>
              <w:autoSpaceDN w:val="0"/>
              <w:adjustRightInd w:val="0"/>
              <w:jc w:val="both"/>
              <w:rPr>
                <w:rFonts w:cstheme="minorHAnsi"/>
                <w:bCs/>
                <w:sz w:val="24"/>
                <w:szCs w:val="24"/>
                <w:u w:val="single"/>
                <w:lang w:val="el-GR"/>
              </w:rPr>
            </w:pPr>
            <w:r w:rsidRPr="00B563BF">
              <w:rPr>
                <w:rFonts w:cstheme="minorHAnsi"/>
                <w:sz w:val="24"/>
                <w:szCs w:val="24"/>
                <w:lang w:val="el-GR"/>
              </w:rPr>
              <w:t>(δ) τις υποχρεώσεις που αναλαμβάνει ο ΟΣΕΚΑ εξαιτίας της εγγύησης, στις οποίες περιλαμβάνονται και το κόστος της εγγύησης,</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275B90" w:rsidRDefault="000F7227" w:rsidP="000F7227">
            <w:pPr>
              <w:autoSpaceDE w:val="0"/>
              <w:autoSpaceDN w:val="0"/>
              <w:adjustRightInd w:val="0"/>
              <w:spacing w:after="0" w:line="240" w:lineRule="auto"/>
              <w:jc w:val="both"/>
              <w:rPr>
                <w:rFonts w:cstheme="minorHAnsi"/>
                <w:sz w:val="24"/>
                <w:szCs w:val="24"/>
                <w:lang w:val="el-GR"/>
              </w:rPr>
            </w:pPr>
            <w:r w:rsidRPr="00B563BF">
              <w:rPr>
                <w:rFonts w:cstheme="minorHAnsi"/>
                <w:sz w:val="24"/>
                <w:szCs w:val="24"/>
                <w:lang w:val="el-GR"/>
              </w:rPr>
              <w:t xml:space="preserve">(ε) τις προϋποθέσεις με τις οποίες ενεργοποιείται η εγγύηση, ιδίως εάν αυτή προϋποθέτει ενέργεια του μεριδιούχου, εάν θα ισχύει καθ’ όλη τη διάρκεια της συμμετοχής στον ΟΣΕΚΑ, με την ενεργοποίηση να λαμβάνει χώρα εφόσον ο μεριδιούχος ζητήσει την εξαγορά ή την εξόφληση των μεριδίων του οποιαδήποτε στιγμή, ή εάν η εγγύηση θα ενεργοποιείται με την πάροδο συγκεκριμένης χρονικής περιόδου, ή σε </w:t>
            </w:r>
            <w:r w:rsidRPr="00B563BF">
              <w:rPr>
                <w:rFonts w:cstheme="minorHAnsi"/>
                <w:sz w:val="24"/>
                <w:szCs w:val="24"/>
                <w:lang w:val="el-GR"/>
              </w:rPr>
              <w:lastRenderedPageBreak/>
              <w:t>προκαθορισμένα χρονικά σημεία, ενδεχόμενα με «κλείδωμα ποσοστού απόδοσης», ή με όρους που θα επανακαθορίζονται στη λήξη κάθε περιόδου, ή εάν η ενεργοποίηση της εγγύησης προϋποθέτει την πάροδο συγκεκριμένης χρονικής περιόδου, κατά την οποία δε θα υποβληθεί αίτηση εξαγοράς ή εξόφλησης των μεριδίων.</w:t>
            </w:r>
          </w:p>
          <w:p w:rsidR="00275B90" w:rsidRPr="00275B90" w:rsidRDefault="00275B90" w:rsidP="000F7227">
            <w:pPr>
              <w:autoSpaceDE w:val="0"/>
              <w:autoSpaceDN w:val="0"/>
              <w:adjustRightInd w:val="0"/>
              <w:spacing w:after="0" w:line="240" w:lineRule="auto"/>
              <w:jc w:val="both"/>
              <w:rPr>
                <w:rFonts w:cstheme="minorHAnsi"/>
                <w:sz w:val="24"/>
                <w:szCs w:val="24"/>
                <w:lang w:val="el-GR"/>
              </w:rPr>
            </w:pP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6B1FA7" w:rsidRPr="00275B90" w:rsidTr="00117359">
        <w:trPr>
          <w:trHeight w:val="600"/>
        </w:trPr>
        <w:tc>
          <w:tcPr>
            <w:tcW w:w="5211" w:type="dxa"/>
          </w:tcPr>
          <w:p w:rsidR="006B1FA7" w:rsidRDefault="006B1FA7" w:rsidP="006B1FA7">
            <w:pPr>
              <w:spacing w:after="0" w:line="240" w:lineRule="auto"/>
              <w:jc w:val="both"/>
              <w:rPr>
                <w:rFonts w:cstheme="minorHAnsi"/>
                <w:sz w:val="24"/>
                <w:szCs w:val="24"/>
              </w:rPr>
            </w:pPr>
            <w:r w:rsidRPr="00F247BE">
              <w:rPr>
                <w:rFonts w:cstheme="minorHAnsi"/>
                <w:sz w:val="24"/>
                <w:szCs w:val="24"/>
                <w:lang w:val="el-GR"/>
              </w:rPr>
              <w:lastRenderedPageBreak/>
              <w:t>(στ) την τυχόν περιορισμένη περίοδο κατά την οποία θα διατίθενται τα μερίδια του ΟΣΕΚΑ.</w:t>
            </w:r>
          </w:p>
          <w:p w:rsidR="00275B90" w:rsidRPr="00275B90" w:rsidRDefault="00275B90" w:rsidP="006B1FA7">
            <w:pPr>
              <w:spacing w:after="0" w:line="240" w:lineRule="auto"/>
              <w:jc w:val="both"/>
              <w:rPr>
                <w:rFonts w:cstheme="minorHAnsi"/>
                <w:sz w:val="24"/>
                <w:szCs w:val="24"/>
              </w:rPr>
            </w:pPr>
            <w:bookmarkStart w:id="0" w:name="_GoBack"/>
            <w:bookmarkEnd w:id="0"/>
          </w:p>
        </w:tc>
        <w:tc>
          <w:tcPr>
            <w:tcW w:w="1134" w:type="dxa"/>
          </w:tcPr>
          <w:p w:rsidR="006B1FA7" w:rsidRPr="00B563BF" w:rsidRDefault="006B1FA7" w:rsidP="002E128B">
            <w:pPr>
              <w:autoSpaceDE w:val="0"/>
              <w:autoSpaceDN w:val="0"/>
              <w:adjustRightInd w:val="0"/>
              <w:spacing w:after="0" w:line="240" w:lineRule="auto"/>
              <w:jc w:val="center"/>
              <w:rPr>
                <w:rFonts w:cstheme="minorHAnsi"/>
                <w:b/>
                <w:sz w:val="24"/>
                <w:szCs w:val="24"/>
                <w:lang w:val="el-GR"/>
              </w:rPr>
            </w:pPr>
          </w:p>
        </w:tc>
        <w:tc>
          <w:tcPr>
            <w:tcW w:w="1701" w:type="dxa"/>
          </w:tcPr>
          <w:p w:rsidR="006B1FA7" w:rsidRPr="00B563BF" w:rsidRDefault="006B1FA7" w:rsidP="002E128B">
            <w:pPr>
              <w:autoSpaceDE w:val="0"/>
              <w:autoSpaceDN w:val="0"/>
              <w:adjustRightInd w:val="0"/>
              <w:spacing w:after="0" w:line="240" w:lineRule="auto"/>
              <w:jc w:val="center"/>
              <w:rPr>
                <w:rFonts w:cstheme="minorHAnsi"/>
                <w:b/>
                <w:sz w:val="24"/>
                <w:szCs w:val="24"/>
                <w:lang w:val="el-GR"/>
              </w:rPr>
            </w:pPr>
          </w:p>
        </w:tc>
        <w:tc>
          <w:tcPr>
            <w:tcW w:w="1560" w:type="dxa"/>
          </w:tcPr>
          <w:p w:rsidR="006B1FA7" w:rsidRPr="00B563BF" w:rsidRDefault="006B1FA7"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jc w:val="both"/>
              <w:rPr>
                <w:rFonts w:cstheme="minorHAnsi"/>
                <w:sz w:val="24"/>
                <w:szCs w:val="24"/>
                <w:u w:val="single"/>
                <w:lang w:val="el-GR"/>
              </w:rPr>
            </w:pPr>
            <w:r w:rsidRPr="00B563BF">
              <w:rPr>
                <w:rFonts w:cstheme="minorHAnsi"/>
                <w:bCs/>
                <w:sz w:val="24"/>
                <w:szCs w:val="24"/>
                <w:u w:val="single"/>
                <w:lang w:val="el-GR"/>
              </w:rPr>
              <w:t xml:space="preserve">Οδηγία </w:t>
            </w:r>
            <w:r w:rsidR="00B63AA9" w:rsidRPr="00B563BF">
              <w:rPr>
                <w:rFonts w:cstheme="minorHAnsi"/>
                <w:bCs/>
                <w:u w:val="single"/>
                <w:lang w:val="el-GR"/>
              </w:rPr>
              <w:t xml:space="preserve"> ΟΔ78-2012-19 </w:t>
            </w:r>
            <w:r w:rsidRPr="00B563BF">
              <w:rPr>
                <w:rFonts w:cstheme="minorHAnsi"/>
                <w:bCs/>
                <w:sz w:val="24"/>
                <w:szCs w:val="24"/>
                <w:u w:val="single"/>
                <w:lang w:val="el-GR"/>
              </w:rPr>
              <w:t>σχετικά με τη ρύθμιση κάθε ειδικότερου ζητήματος που αφορά τη συγκρότηση, τη λειτουργία και τη διάλυση ΟΣΕΚΑ με περισσότερα επενδυτικά τμήματα</w:t>
            </w:r>
          </w:p>
          <w:p w:rsidR="002E128B" w:rsidRPr="00B563BF" w:rsidRDefault="002E128B" w:rsidP="002E128B">
            <w:pPr>
              <w:jc w:val="both"/>
              <w:rPr>
                <w:rFonts w:cstheme="minorHAnsi"/>
                <w:sz w:val="24"/>
                <w:szCs w:val="24"/>
                <w:lang w:val="el-GR"/>
              </w:rPr>
            </w:pPr>
            <w:r w:rsidRPr="00B563BF">
              <w:rPr>
                <w:rFonts w:cstheme="minorHAnsi"/>
                <w:sz w:val="24"/>
                <w:szCs w:val="24"/>
                <w:lang w:val="el-GR"/>
              </w:rPr>
              <w:t>Παράγραφος</w:t>
            </w:r>
            <w:r w:rsidRPr="00B563BF">
              <w:rPr>
                <w:rFonts w:cstheme="minorHAnsi"/>
                <w:b/>
                <w:sz w:val="24"/>
                <w:szCs w:val="24"/>
                <w:lang w:val="el-GR"/>
              </w:rPr>
              <w:t xml:space="preserve"> </w:t>
            </w:r>
            <w:r w:rsidRPr="00B563BF">
              <w:rPr>
                <w:rFonts w:cstheme="minorHAnsi"/>
                <w:sz w:val="24"/>
                <w:szCs w:val="24"/>
                <w:lang w:val="el-GR"/>
              </w:rPr>
              <w:t>7(1). Ο κανονισμός ή τα καταστατικά έγγραφα του ΟΣΕΚΑ με περισσότερα επενδυτικά τμήματα αναφέρουν τουλάχιστον:</w:t>
            </w:r>
          </w:p>
          <w:p w:rsidR="002E128B" w:rsidRPr="00B563BF" w:rsidRDefault="002E128B" w:rsidP="002E128B">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(α) Το περιεχόμενο των εδαφίων 2, 3 και 4 του άρθρου 7 του Νόμου, καθώς την ενδεχόμενη χρήση της δυνατότητας που παρέχει το εδάφιο 5 αυτού του άρθρου.</w:t>
            </w:r>
          </w:p>
          <w:p w:rsidR="002E128B" w:rsidRPr="00B563BF" w:rsidRDefault="002E128B" w:rsidP="002E128B">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(β) Μνεία ότι τα μερίδια παρέχουν ένα δικαίωμα ψήφου, στις συνελεύσεις των μεριδιούχων, ανεξάρτητα από την αξία τους, η οποία μπορεί να διαφέρει ανά επενδυτικό τμήμα.</w:t>
            </w:r>
          </w:p>
          <w:p w:rsidR="002E128B" w:rsidRPr="00B563BF" w:rsidRDefault="002E128B" w:rsidP="002E128B">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(γ) Το νόμισμα αναφοράς του ΟΣΕΚΑ.</w:t>
            </w:r>
          </w:p>
          <w:p w:rsidR="002E128B" w:rsidRPr="00B563BF" w:rsidRDefault="002E128B" w:rsidP="002E128B">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(δ) Τα θέματα που αφορούν τους μεριδιούχους όλων των επενδυτικών τμημάτων και που συζητούνται στο επίπεδο της γενικής συνέλευσης όλων των μεριδιούχων του ΟΣΕΚΑ, ανεξάρτητα από το επενδυτικό τμήμα στο οποίο ανήκουν, καθώς και τα θέματα που αφορούν αποκλειστικά τους μεριδιούχους συγκεκριμένου τμήματος ή συγκεκριμένων τμημάτων και που συζητούνται στο επίπεδο της συνέλευσης των μεριδιούχων αυτού του τμήματος ή αυτών των τμημάτων.</w:t>
            </w:r>
          </w:p>
          <w:p w:rsidR="002E128B" w:rsidRPr="00B563BF" w:rsidRDefault="002E128B" w:rsidP="002E128B">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(ε) Τον τρόπο και τους όρους κατανομής των στοιχείων του ενεργητικού, σε περίπτωση λύσης των τμημάτων του ΟΣΕΚΑ.</w:t>
            </w:r>
          </w:p>
          <w:p w:rsidR="002E128B" w:rsidRPr="00B563BF" w:rsidRDefault="002E128B" w:rsidP="00B63AA9">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 xml:space="preserve">(στ) Κάθε άλλο στοιχείο που θα καθιστά σαφή στους επενδυτές τον τρόπο λειτουργίας του ΟΣΕΚΑ με περισσότερα επενδυτικά τμήματα.  </w:t>
            </w: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B63AA9" w:rsidRPr="00275B90" w:rsidTr="00117359">
        <w:trPr>
          <w:trHeight w:val="600"/>
        </w:trPr>
        <w:tc>
          <w:tcPr>
            <w:tcW w:w="5211" w:type="dxa"/>
          </w:tcPr>
          <w:p w:rsidR="00B63AA9" w:rsidRPr="00B563BF" w:rsidRDefault="00B63AA9" w:rsidP="00B63AA9">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lastRenderedPageBreak/>
              <w:t>Παράγραφος 7(2). Πέρα από τα υποχρεωτικά κατά την προηγούμενη υποπαράγραφο στοιχεία, ο κανονισμός ή τα καταστατικά έγγραφα του ΟΣΕΚΑ που λειτουργεί με περισσότερα επενδυτικά τμήματα, μπορεί να αναφέρει:</w:t>
            </w:r>
          </w:p>
          <w:p w:rsidR="00B63AA9" w:rsidRPr="00B563BF" w:rsidRDefault="00B63AA9" w:rsidP="00B63AA9">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(α) Τυχόν ειδικούς κανόνες που εφαρμόζονται σε ένα ή περισσότερα τμήματα.</w:t>
            </w:r>
          </w:p>
          <w:p w:rsidR="00B63AA9" w:rsidRPr="00B563BF" w:rsidRDefault="00B63AA9" w:rsidP="00B63AA9">
            <w:pPr>
              <w:pStyle w:val="BodyText"/>
              <w:tabs>
                <w:tab w:val="left" w:pos="7200"/>
              </w:tabs>
              <w:jc w:val="both"/>
              <w:rPr>
                <w:rFonts w:asciiTheme="minorHAnsi" w:hAnsiTheme="minorHAnsi" w:cstheme="minorHAnsi"/>
                <w:b w:val="0"/>
                <w:lang w:val="el-GR"/>
              </w:rPr>
            </w:pPr>
            <w:r w:rsidRPr="00B563BF">
              <w:rPr>
                <w:rFonts w:asciiTheme="minorHAnsi" w:hAnsiTheme="minorHAnsi" w:cstheme="minorHAnsi"/>
                <w:b w:val="0"/>
                <w:lang w:val="el-GR"/>
              </w:rPr>
              <w:t xml:space="preserve">(β) Περιπτώσεις κατά τις οποίες μπορεί να αποφασιστεί η αναστολή εξαγοράς ή εξόφλησης των μεριδίων του ΟΣΕΚΑ, για ένα η περισσότερα ή και για όλα τα επενδυτικά τμήματα.  </w:t>
            </w:r>
          </w:p>
        </w:tc>
        <w:tc>
          <w:tcPr>
            <w:tcW w:w="1134" w:type="dxa"/>
          </w:tcPr>
          <w:p w:rsidR="00B63AA9" w:rsidRPr="00B563BF" w:rsidRDefault="00B63AA9" w:rsidP="002E128B">
            <w:pPr>
              <w:autoSpaceDE w:val="0"/>
              <w:autoSpaceDN w:val="0"/>
              <w:adjustRightInd w:val="0"/>
              <w:spacing w:after="0" w:line="240" w:lineRule="auto"/>
              <w:jc w:val="center"/>
              <w:rPr>
                <w:rFonts w:cstheme="minorHAnsi"/>
                <w:b/>
                <w:sz w:val="24"/>
                <w:szCs w:val="24"/>
                <w:lang w:val="el-GR"/>
              </w:rPr>
            </w:pPr>
          </w:p>
        </w:tc>
        <w:tc>
          <w:tcPr>
            <w:tcW w:w="1701" w:type="dxa"/>
          </w:tcPr>
          <w:p w:rsidR="00B63AA9" w:rsidRPr="00B563BF" w:rsidRDefault="00B63AA9" w:rsidP="002E128B">
            <w:pPr>
              <w:autoSpaceDE w:val="0"/>
              <w:autoSpaceDN w:val="0"/>
              <w:adjustRightInd w:val="0"/>
              <w:spacing w:after="0" w:line="240" w:lineRule="auto"/>
              <w:jc w:val="center"/>
              <w:rPr>
                <w:rFonts w:cstheme="minorHAnsi"/>
                <w:b/>
                <w:sz w:val="24"/>
                <w:szCs w:val="24"/>
                <w:lang w:val="el-GR"/>
              </w:rPr>
            </w:pPr>
          </w:p>
        </w:tc>
        <w:tc>
          <w:tcPr>
            <w:tcW w:w="1560" w:type="dxa"/>
          </w:tcPr>
          <w:p w:rsidR="00B63AA9" w:rsidRPr="00B563BF" w:rsidRDefault="00B63AA9" w:rsidP="002E128B">
            <w:pPr>
              <w:autoSpaceDE w:val="0"/>
              <w:autoSpaceDN w:val="0"/>
              <w:adjustRightInd w:val="0"/>
              <w:spacing w:after="0" w:line="240" w:lineRule="auto"/>
              <w:jc w:val="center"/>
              <w:rPr>
                <w:rFonts w:cstheme="minorHAnsi"/>
                <w:b/>
                <w:sz w:val="24"/>
                <w:szCs w:val="24"/>
                <w:lang w:val="el-GR"/>
              </w:rPr>
            </w:pPr>
          </w:p>
        </w:tc>
      </w:tr>
      <w:tr w:rsidR="002E128B" w:rsidRPr="00275B90" w:rsidTr="00117359">
        <w:trPr>
          <w:trHeight w:val="600"/>
        </w:trPr>
        <w:tc>
          <w:tcPr>
            <w:tcW w:w="5211" w:type="dxa"/>
          </w:tcPr>
          <w:p w:rsidR="002E128B" w:rsidRPr="00B563BF" w:rsidRDefault="002E128B" w:rsidP="002E128B">
            <w:pPr>
              <w:autoSpaceDE w:val="0"/>
              <w:autoSpaceDN w:val="0"/>
              <w:adjustRightInd w:val="0"/>
              <w:spacing w:after="0" w:line="240" w:lineRule="auto"/>
              <w:jc w:val="both"/>
              <w:rPr>
                <w:rFonts w:cstheme="minorHAnsi"/>
                <w:bCs/>
                <w:color w:val="000000"/>
                <w:sz w:val="24"/>
                <w:szCs w:val="24"/>
                <w:u w:val="single"/>
                <w:lang w:val="el-GR"/>
              </w:rPr>
            </w:pPr>
            <w:r w:rsidRPr="00B563BF">
              <w:rPr>
                <w:rFonts w:cstheme="minorHAnsi"/>
                <w:bCs/>
                <w:color w:val="000000"/>
                <w:sz w:val="24"/>
                <w:szCs w:val="24"/>
                <w:u w:val="single"/>
                <w:lang w:val="el-GR"/>
              </w:rPr>
              <w:t xml:space="preserve">Οδηγία </w:t>
            </w:r>
            <w:r w:rsidR="00B63AA9" w:rsidRPr="00B563BF">
              <w:rPr>
                <w:rFonts w:cstheme="minorHAnsi"/>
                <w:bCs/>
                <w:color w:val="000000"/>
                <w:sz w:val="24"/>
                <w:szCs w:val="24"/>
                <w:u w:val="single"/>
                <w:lang w:val="el-GR"/>
              </w:rPr>
              <w:t xml:space="preserve"> ΟΔ78-2012-23 </w:t>
            </w:r>
            <w:r w:rsidRPr="00B563BF">
              <w:rPr>
                <w:rFonts w:cstheme="minorHAnsi"/>
                <w:bCs/>
                <w:color w:val="000000"/>
                <w:sz w:val="24"/>
                <w:szCs w:val="24"/>
                <w:u w:val="single"/>
                <w:lang w:val="el-GR"/>
              </w:rPr>
              <w:t xml:space="preserve">όσον αφορά </w:t>
            </w:r>
            <w:r w:rsidRPr="00B563BF">
              <w:rPr>
                <w:rFonts w:cstheme="minorHAnsi"/>
                <w:sz w:val="24"/>
                <w:szCs w:val="24"/>
                <w:u w:val="single"/>
                <w:lang w:val="el-GR"/>
              </w:rPr>
              <w:t>τα στοιχεία που υποβάλλονται για την παροχή άδειας λειτουργίας Διαπραγματεύσιμων ΟΣΕΚΑ, τις ειδικές υποχρεώσεις εξαιτίας της εισαγωγής και διαπραγμάτευσης των μεριδίων Διαπραγματεύσιμων ΟΣΕΚΑ, καθώς και κάθε άλλο ζήτημα ή άλλη αναγκαία λεπτομέρεια, σχετικά με τη λειτουργία αυτών των ΟΣΕΚΑ.</w:t>
            </w:r>
            <w:r w:rsidRPr="00B563BF">
              <w:rPr>
                <w:rFonts w:cstheme="minorHAnsi"/>
                <w:bCs/>
                <w:color w:val="000000"/>
                <w:sz w:val="24"/>
                <w:szCs w:val="24"/>
                <w:u w:val="single"/>
                <w:lang w:val="el-GR"/>
              </w:rPr>
              <w:t xml:space="preserve"> </w:t>
            </w:r>
          </w:p>
          <w:p w:rsidR="002E128B" w:rsidRPr="00B563BF" w:rsidRDefault="002E128B" w:rsidP="002E128B">
            <w:pPr>
              <w:autoSpaceDE w:val="0"/>
              <w:autoSpaceDN w:val="0"/>
              <w:adjustRightInd w:val="0"/>
              <w:spacing w:after="0" w:line="240" w:lineRule="auto"/>
              <w:jc w:val="both"/>
              <w:rPr>
                <w:rFonts w:cstheme="minorHAnsi"/>
                <w:bCs/>
                <w:color w:val="000000"/>
                <w:sz w:val="24"/>
                <w:szCs w:val="24"/>
                <w:u w:val="single"/>
                <w:lang w:val="el-GR"/>
              </w:rPr>
            </w:pPr>
          </w:p>
          <w:p w:rsidR="002E128B" w:rsidRPr="00B563BF" w:rsidRDefault="002E128B" w:rsidP="002E128B">
            <w:pPr>
              <w:spacing w:after="0" w:line="240" w:lineRule="auto"/>
              <w:jc w:val="both"/>
              <w:rPr>
                <w:rFonts w:cstheme="minorHAnsi"/>
                <w:sz w:val="24"/>
                <w:szCs w:val="24"/>
                <w:lang w:val="el-GR"/>
              </w:rPr>
            </w:pPr>
            <w:r w:rsidRPr="00B563BF">
              <w:rPr>
                <w:rFonts w:cstheme="minorHAnsi"/>
                <w:sz w:val="24"/>
                <w:szCs w:val="24"/>
                <w:lang w:val="el-GR"/>
              </w:rPr>
              <w:t>Παράγραφος 4(3)(β). Τα καταστατικά του έγγραφα προβλέπουν την υποχρέωση εισαγωγής και διαπραγμάτευσης των μεριδίων του σε χρηματιστηριακή αγορά.</w:t>
            </w:r>
          </w:p>
          <w:p w:rsidR="002E128B" w:rsidRPr="00B563BF" w:rsidRDefault="002E128B" w:rsidP="00B63AA9">
            <w:pPr>
              <w:spacing w:after="0" w:line="240" w:lineRule="auto"/>
              <w:jc w:val="both"/>
              <w:rPr>
                <w:rFonts w:cstheme="minorHAnsi"/>
                <w:sz w:val="24"/>
                <w:szCs w:val="24"/>
                <w:lang w:val="el-GR"/>
              </w:rPr>
            </w:pPr>
          </w:p>
        </w:tc>
        <w:tc>
          <w:tcPr>
            <w:tcW w:w="1134"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701"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c>
          <w:tcPr>
            <w:tcW w:w="1560" w:type="dxa"/>
          </w:tcPr>
          <w:p w:rsidR="002E128B" w:rsidRPr="00B563BF" w:rsidRDefault="002E128B" w:rsidP="002E128B">
            <w:pPr>
              <w:autoSpaceDE w:val="0"/>
              <w:autoSpaceDN w:val="0"/>
              <w:adjustRightInd w:val="0"/>
              <w:spacing w:after="0" w:line="240" w:lineRule="auto"/>
              <w:jc w:val="center"/>
              <w:rPr>
                <w:rFonts w:cstheme="minorHAnsi"/>
                <w:b/>
                <w:sz w:val="24"/>
                <w:szCs w:val="24"/>
                <w:lang w:val="el-GR"/>
              </w:rPr>
            </w:pPr>
          </w:p>
        </w:tc>
      </w:tr>
      <w:tr w:rsidR="00B63AA9" w:rsidRPr="00275B90" w:rsidTr="00117359">
        <w:trPr>
          <w:trHeight w:val="600"/>
        </w:trPr>
        <w:tc>
          <w:tcPr>
            <w:tcW w:w="5211" w:type="dxa"/>
          </w:tcPr>
          <w:p w:rsidR="00B63AA9" w:rsidRPr="00B563BF" w:rsidRDefault="00B63AA9" w:rsidP="00B63AA9">
            <w:pPr>
              <w:spacing w:after="0" w:line="240" w:lineRule="auto"/>
              <w:jc w:val="both"/>
              <w:rPr>
                <w:rFonts w:cstheme="minorHAnsi"/>
                <w:sz w:val="24"/>
                <w:szCs w:val="24"/>
                <w:lang w:val="el-GR"/>
              </w:rPr>
            </w:pPr>
            <w:r w:rsidRPr="00B563BF">
              <w:rPr>
                <w:rFonts w:cstheme="minorHAnsi"/>
                <w:sz w:val="24"/>
                <w:szCs w:val="24"/>
                <w:lang w:val="el-GR"/>
              </w:rPr>
              <w:t>Παράγραφος 6. Τα καταστατικά έγγραφα του Διαπραγματεύσιμου ΟΣΕΚΑ, επιπλέον των στοιχείων που μνημονεύονται στο άρθρο 26 ή στο άρθρο 33 του Νόμου, κατά περίπτωση, αναφέρουν:</w:t>
            </w:r>
          </w:p>
          <w:p w:rsidR="00B63AA9" w:rsidRPr="00B563BF" w:rsidRDefault="00B63AA9" w:rsidP="00FD4C2D">
            <w:pPr>
              <w:spacing w:after="0" w:line="240" w:lineRule="auto"/>
              <w:jc w:val="both"/>
              <w:rPr>
                <w:rFonts w:cstheme="minorHAnsi"/>
                <w:bCs/>
                <w:color w:val="000000"/>
                <w:sz w:val="24"/>
                <w:szCs w:val="24"/>
                <w:u w:val="single"/>
                <w:lang w:val="el-GR"/>
              </w:rPr>
            </w:pPr>
          </w:p>
        </w:tc>
        <w:tc>
          <w:tcPr>
            <w:tcW w:w="1134" w:type="dxa"/>
          </w:tcPr>
          <w:p w:rsidR="00B63AA9" w:rsidRPr="00B563BF" w:rsidRDefault="00B63AA9" w:rsidP="002E128B">
            <w:pPr>
              <w:autoSpaceDE w:val="0"/>
              <w:autoSpaceDN w:val="0"/>
              <w:adjustRightInd w:val="0"/>
              <w:spacing w:after="0" w:line="240" w:lineRule="auto"/>
              <w:jc w:val="center"/>
              <w:rPr>
                <w:rFonts w:cstheme="minorHAnsi"/>
                <w:b/>
                <w:sz w:val="24"/>
                <w:szCs w:val="24"/>
                <w:lang w:val="el-GR"/>
              </w:rPr>
            </w:pPr>
          </w:p>
        </w:tc>
        <w:tc>
          <w:tcPr>
            <w:tcW w:w="1701" w:type="dxa"/>
          </w:tcPr>
          <w:p w:rsidR="00B63AA9" w:rsidRPr="00B563BF" w:rsidRDefault="00B63AA9" w:rsidP="002E128B">
            <w:pPr>
              <w:autoSpaceDE w:val="0"/>
              <w:autoSpaceDN w:val="0"/>
              <w:adjustRightInd w:val="0"/>
              <w:spacing w:after="0" w:line="240" w:lineRule="auto"/>
              <w:jc w:val="center"/>
              <w:rPr>
                <w:rFonts w:cstheme="minorHAnsi"/>
                <w:b/>
                <w:sz w:val="24"/>
                <w:szCs w:val="24"/>
                <w:lang w:val="el-GR"/>
              </w:rPr>
            </w:pPr>
          </w:p>
        </w:tc>
        <w:tc>
          <w:tcPr>
            <w:tcW w:w="1560" w:type="dxa"/>
          </w:tcPr>
          <w:p w:rsidR="00B63AA9" w:rsidRPr="00B563BF" w:rsidRDefault="00B63AA9"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FD4C2D" w:rsidP="000F7227">
            <w:pPr>
              <w:spacing w:after="0" w:line="240" w:lineRule="auto"/>
              <w:jc w:val="both"/>
              <w:rPr>
                <w:rFonts w:cstheme="minorHAnsi"/>
                <w:sz w:val="24"/>
                <w:szCs w:val="24"/>
                <w:lang w:val="el-GR"/>
              </w:rPr>
            </w:pPr>
            <w:r w:rsidRPr="00B563BF">
              <w:rPr>
                <w:rFonts w:cstheme="minorHAnsi"/>
                <w:sz w:val="24"/>
                <w:szCs w:val="24"/>
                <w:lang w:val="el-GR"/>
              </w:rPr>
              <w:t>(α) την ελάχιστη ποσότητα μεριδίων που απαιτείται για αίτηση έκδοσης ή εξαγοράς μεριδίων, καθώς και το μέγιστο αριθμό μεριδίων που δύναται να εκδοθούν,</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r w:rsidR="000F7227" w:rsidRPr="00275B90" w:rsidTr="00117359">
        <w:trPr>
          <w:trHeight w:val="600"/>
        </w:trPr>
        <w:tc>
          <w:tcPr>
            <w:tcW w:w="5211" w:type="dxa"/>
          </w:tcPr>
          <w:p w:rsidR="000F7227" w:rsidRPr="00B563BF" w:rsidRDefault="000F7227" w:rsidP="00FD4C2D">
            <w:pPr>
              <w:spacing w:after="0" w:line="240" w:lineRule="auto"/>
              <w:jc w:val="both"/>
              <w:rPr>
                <w:rFonts w:cstheme="minorHAnsi"/>
                <w:sz w:val="24"/>
                <w:szCs w:val="24"/>
                <w:lang w:val="el-GR"/>
              </w:rPr>
            </w:pPr>
            <w:r w:rsidRPr="00B563BF">
              <w:rPr>
                <w:rFonts w:cstheme="minorHAnsi"/>
                <w:sz w:val="24"/>
                <w:szCs w:val="24"/>
                <w:lang w:val="el-GR"/>
              </w:rPr>
              <w:t>(β) τη χρηματιστηριακή αγορά στην οποία τα μερίδιά του θα αποτελούν αντικείμενο διαπραγμάτευσης και</w:t>
            </w:r>
          </w:p>
        </w:tc>
        <w:tc>
          <w:tcPr>
            <w:tcW w:w="1134" w:type="dxa"/>
          </w:tcPr>
          <w:p w:rsidR="000F7227" w:rsidRPr="00B563BF" w:rsidRDefault="000F7227" w:rsidP="002E128B">
            <w:pPr>
              <w:autoSpaceDE w:val="0"/>
              <w:autoSpaceDN w:val="0"/>
              <w:adjustRightInd w:val="0"/>
              <w:spacing w:after="0" w:line="240" w:lineRule="auto"/>
              <w:jc w:val="center"/>
              <w:rPr>
                <w:rFonts w:cstheme="minorHAnsi"/>
                <w:b/>
                <w:sz w:val="24"/>
                <w:szCs w:val="24"/>
                <w:lang w:val="el-GR"/>
              </w:rPr>
            </w:pPr>
          </w:p>
        </w:tc>
        <w:tc>
          <w:tcPr>
            <w:tcW w:w="1701" w:type="dxa"/>
          </w:tcPr>
          <w:p w:rsidR="000F7227" w:rsidRPr="00B563BF" w:rsidRDefault="000F7227" w:rsidP="002E128B">
            <w:pPr>
              <w:autoSpaceDE w:val="0"/>
              <w:autoSpaceDN w:val="0"/>
              <w:adjustRightInd w:val="0"/>
              <w:spacing w:after="0" w:line="240" w:lineRule="auto"/>
              <w:jc w:val="center"/>
              <w:rPr>
                <w:rFonts w:cstheme="minorHAnsi"/>
                <w:b/>
                <w:sz w:val="24"/>
                <w:szCs w:val="24"/>
                <w:lang w:val="el-GR"/>
              </w:rPr>
            </w:pPr>
          </w:p>
        </w:tc>
        <w:tc>
          <w:tcPr>
            <w:tcW w:w="1560" w:type="dxa"/>
          </w:tcPr>
          <w:p w:rsidR="000F7227" w:rsidRPr="00B563BF" w:rsidRDefault="000F7227" w:rsidP="002E128B">
            <w:pPr>
              <w:autoSpaceDE w:val="0"/>
              <w:autoSpaceDN w:val="0"/>
              <w:adjustRightInd w:val="0"/>
              <w:spacing w:after="0" w:line="240" w:lineRule="auto"/>
              <w:jc w:val="center"/>
              <w:rPr>
                <w:rFonts w:cstheme="minorHAnsi"/>
                <w:b/>
                <w:sz w:val="24"/>
                <w:szCs w:val="24"/>
                <w:lang w:val="el-GR"/>
              </w:rPr>
            </w:pPr>
          </w:p>
        </w:tc>
      </w:tr>
      <w:tr w:rsidR="00FD4C2D" w:rsidRPr="00275B90" w:rsidTr="00117359">
        <w:trPr>
          <w:trHeight w:val="600"/>
        </w:trPr>
        <w:tc>
          <w:tcPr>
            <w:tcW w:w="5211" w:type="dxa"/>
          </w:tcPr>
          <w:p w:rsidR="00FD4C2D" w:rsidRPr="00B563BF" w:rsidRDefault="00FD4C2D" w:rsidP="00FD4C2D">
            <w:pPr>
              <w:spacing w:after="0" w:line="240" w:lineRule="auto"/>
              <w:jc w:val="both"/>
              <w:rPr>
                <w:rFonts w:cstheme="minorHAnsi"/>
                <w:sz w:val="24"/>
                <w:szCs w:val="24"/>
                <w:lang w:val="el-GR"/>
              </w:rPr>
            </w:pPr>
            <w:r w:rsidRPr="00B563BF">
              <w:rPr>
                <w:rFonts w:cstheme="minorHAnsi"/>
                <w:sz w:val="24"/>
                <w:szCs w:val="24"/>
                <w:lang w:val="el-GR"/>
              </w:rPr>
              <w:t>(γ) το μέγιστο επιτρεπόμενο ποσοστό απόκλισης της τιμής του μεριδίου που διαμορφώνεται στη χρηματιστηριακή αγορά σε σχέση με την ενδεικτική καθαρή αξία του μεριδίου (</w:t>
            </w:r>
            <w:r w:rsidRPr="000401D0">
              <w:rPr>
                <w:rFonts w:cstheme="minorHAnsi"/>
                <w:sz w:val="24"/>
                <w:szCs w:val="24"/>
              </w:rPr>
              <w:t>NAV</w:t>
            </w:r>
            <w:r w:rsidRPr="00B563BF">
              <w:rPr>
                <w:rFonts w:cstheme="minorHAnsi"/>
                <w:sz w:val="24"/>
                <w:szCs w:val="24"/>
                <w:lang w:val="el-GR"/>
              </w:rPr>
              <w:t>), χωρίς αυτό το ποσοστό να μπορεί να υπερβαίνει το 5%.</w:t>
            </w:r>
          </w:p>
        </w:tc>
        <w:tc>
          <w:tcPr>
            <w:tcW w:w="1134"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701"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c>
          <w:tcPr>
            <w:tcW w:w="1560" w:type="dxa"/>
          </w:tcPr>
          <w:p w:rsidR="00FD4C2D" w:rsidRPr="00B563BF" w:rsidRDefault="00FD4C2D" w:rsidP="002E128B">
            <w:pPr>
              <w:autoSpaceDE w:val="0"/>
              <w:autoSpaceDN w:val="0"/>
              <w:adjustRightInd w:val="0"/>
              <w:spacing w:after="0" w:line="240" w:lineRule="auto"/>
              <w:jc w:val="center"/>
              <w:rPr>
                <w:rFonts w:cstheme="minorHAnsi"/>
                <w:b/>
                <w:sz w:val="24"/>
                <w:szCs w:val="24"/>
                <w:lang w:val="el-GR"/>
              </w:rPr>
            </w:pPr>
          </w:p>
        </w:tc>
      </w:tr>
    </w:tbl>
    <w:p w:rsidR="003C567C" w:rsidRPr="00B563BF" w:rsidRDefault="003C567C" w:rsidP="005934CF">
      <w:pPr>
        <w:tabs>
          <w:tab w:val="left" w:pos="2190"/>
        </w:tabs>
        <w:autoSpaceDE w:val="0"/>
        <w:autoSpaceDN w:val="0"/>
        <w:adjustRightInd w:val="0"/>
        <w:spacing w:after="0" w:line="240" w:lineRule="auto"/>
        <w:ind w:left="-567"/>
        <w:jc w:val="both"/>
        <w:rPr>
          <w:rFonts w:cstheme="minorHAnsi"/>
          <w:sz w:val="24"/>
          <w:szCs w:val="24"/>
          <w:lang w:val="el-GR"/>
        </w:rPr>
      </w:pPr>
    </w:p>
    <w:p w:rsidR="003C567C" w:rsidRPr="00B563BF" w:rsidRDefault="003C567C" w:rsidP="005934CF">
      <w:pPr>
        <w:tabs>
          <w:tab w:val="left" w:pos="2190"/>
        </w:tabs>
        <w:autoSpaceDE w:val="0"/>
        <w:autoSpaceDN w:val="0"/>
        <w:adjustRightInd w:val="0"/>
        <w:spacing w:after="0" w:line="240" w:lineRule="auto"/>
        <w:ind w:left="-567"/>
        <w:jc w:val="both"/>
        <w:rPr>
          <w:rFonts w:cstheme="minorHAnsi"/>
          <w:sz w:val="24"/>
          <w:szCs w:val="24"/>
          <w:lang w:val="el-GR"/>
        </w:rPr>
      </w:pPr>
    </w:p>
    <w:p w:rsidR="003C567C" w:rsidRPr="00B563BF" w:rsidRDefault="003C567C" w:rsidP="005934CF">
      <w:pPr>
        <w:tabs>
          <w:tab w:val="left" w:pos="2190"/>
        </w:tabs>
        <w:autoSpaceDE w:val="0"/>
        <w:autoSpaceDN w:val="0"/>
        <w:adjustRightInd w:val="0"/>
        <w:spacing w:after="0" w:line="240" w:lineRule="auto"/>
        <w:ind w:left="-567"/>
        <w:jc w:val="both"/>
        <w:rPr>
          <w:rFonts w:cstheme="minorHAnsi"/>
          <w:sz w:val="24"/>
          <w:szCs w:val="24"/>
          <w:highlight w:val="yellow"/>
          <w:lang w:val="el-GR"/>
        </w:rPr>
      </w:pPr>
    </w:p>
    <w:sectPr w:rsidR="003C567C" w:rsidRPr="00B563BF" w:rsidSect="00D522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D9" w:rsidRDefault="009C26D9" w:rsidP="0037566C">
      <w:pPr>
        <w:spacing w:after="0" w:line="240" w:lineRule="auto"/>
      </w:pPr>
      <w:r>
        <w:separator/>
      </w:r>
    </w:p>
  </w:endnote>
  <w:endnote w:type="continuationSeparator" w:id="0">
    <w:p w:rsidR="009C26D9" w:rsidRDefault="009C26D9" w:rsidP="003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6C" w:rsidRDefault="003756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D9" w:rsidRDefault="009C26D9" w:rsidP="0037566C">
      <w:pPr>
        <w:spacing w:after="0" w:line="240" w:lineRule="auto"/>
      </w:pPr>
      <w:r>
        <w:separator/>
      </w:r>
    </w:p>
  </w:footnote>
  <w:footnote w:type="continuationSeparator" w:id="0">
    <w:p w:rsidR="009C26D9" w:rsidRDefault="009C26D9" w:rsidP="00375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B5F4C"/>
    <w:multiLevelType w:val="hybridMultilevel"/>
    <w:tmpl w:val="3F4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44379"/>
    <w:multiLevelType w:val="hybridMultilevel"/>
    <w:tmpl w:val="4F26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BE3E34"/>
    <w:multiLevelType w:val="hybridMultilevel"/>
    <w:tmpl w:val="7356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9B2870"/>
    <w:multiLevelType w:val="hybridMultilevel"/>
    <w:tmpl w:val="69F8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C68E5"/>
    <w:multiLevelType w:val="hybridMultilevel"/>
    <w:tmpl w:val="C3065ED2"/>
    <w:lvl w:ilvl="0" w:tplc="3C9A73C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7"/>
  </w:num>
  <w:num w:numId="6">
    <w:abstractNumId w:val="4"/>
  </w:num>
  <w:num w:numId="7">
    <w:abstractNumId w:val="9"/>
  </w:num>
  <w:num w:numId="8">
    <w:abstractNumId w:val="5"/>
  </w:num>
  <w:num w:numId="9">
    <w:abstractNumId w:val="8"/>
  </w:num>
  <w:num w:numId="10">
    <w:abstractNumId w:val="2"/>
  </w:num>
  <w:num w:numId="11">
    <w:abstractNumId w:val="1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4"/>
    <w:rsid w:val="000401D0"/>
    <w:rsid w:val="00044F5F"/>
    <w:rsid w:val="00086B09"/>
    <w:rsid w:val="000F5442"/>
    <w:rsid w:val="000F7227"/>
    <w:rsid w:val="0012215F"/>
    <w:rsid w:val="001554C1"/>
    <w:rsid w:val="00191A93"/>
    <w:rsid w:val="001A0798"/>
    <w:rsid w:val="001B685A"/>
    <w:rsid w:val="001C1145"/>
    <w:rsid w:val="001F305A"/>
    <w:rsid w:val="002008E5"/>
    <w:rsid w:val="00201225"/>
    <w:rsid w:val="00212C0D"/>
    <w:rsid w:val="00235D39"/>
    <w:rsid w:val="00266C37"/>
    <w:rsid w:val="00275B90"/>
    <w:rsid w:val="00291B9A"/>
    <w:rsid w:val="002B44B9"/>
    <w:rsid w:val="002B62A9"/>
    <w:rsid w:val="002C3398"/>
    <w:rsid w:val="002C70B4"/>
    <w:rsid w:val="002E128B"/>
    <w:rsid w:val="00304A13"/>
    <w:rsid w:val="00312057"/>
    <w:rsid w:val="00312F27"/>
    <w:rsid w:val="00316447"/>
    <w:rsid w:val="0035262A"/>
    <w:rsid w:val="003549B9"/>
    <w:rsid w:val="003555C7"/>
    <w:rsid w:val="00357BF3"/>
    <w:rsid w:val="0036441E"/>
    <w:rsid w:val="003722FD"/>
    <w:rsid w:val="0037566C"/>
    <w:rsid w:val="00390DF0"/>
    <w:rsid w:val="003942A4"/>
    <w:rsid w:val="003A15A3"/>
    <w:rsid w:val="003A7FCE"/>
    <w:rsid w:val="003B649C"/>
    <w:rsid w:val="003C4DF2"/>
    <w:rsid w:val="003C567C"/>
    <w:rsid w:val="003F79AC"/>
    <w:rsid w:val="00436E0B"/>
    <w:rsid w:val="0044297C"/>
    <w:rsid w:val="0046491C"/>
    <w:rsid w:val="004720B0"/>
    <w:rsid w:val="00486458"/>
    <w:rsid w:val="00487C04"/>
    <w:rsid w:val="004A13A9"/>
    <w:rsid w:val="004C33D4"/>
    <w:rsid w:val="004D0C5D"/>
    <w:rsid w:val="004D424B"/>
    <w:rsid w:val="00544D62"/>
    <w:rsid w:val="00544FE6"/>
    <w:rsid w:val="00575040"/>
    <w:rsid w:val="00583410"/>
    <w:rsid w:val="00585FC9"/>
    <w:rsid w:val="005934CF"/>
    <w:rsid w:val="005A3BB2"/>
    <w:rsid w:val="005F0CDA"/>
    <w:rsid w:val="005F2823"/>
    <w:rsid w:val="00610404"/>
    <w:rsid w:val="00611174"/>
    <w:rsid w:val="0063220E"/>
    <w:rsid w:val="0067112D"/>
    <w:rsid w:val="00674967"/>
    <w:rsid w:val="006957F5"/>
    <w:rsid w:val="006A7156"/>
    <w:rsid w:val="006B1FA7"/>
    <w:rsid w:val="006F4EF6"/>
    <w:rsid w:val="00712048"/>
    <w:rsid w:val="00767100"/>
    <w:rsid w:val="00776F7F"/>
    <w:rsid w:val="0078426B"/>
    <w:rsid w:val="007A2786"/>
    <w:rsid w:val="007F6D3F"/>
    <w:rsid w:val="00814DB1"/>
    <w:rsid w:val="0082245E"/>
    <w:rsid w:val="00827D69"/>
    <w:rsid w:val="00872923"/>
    <w:rsid w:val="008767C3"/>
    <w:rsid w:val="00876DDD"/>
    <w:rsid w:val="00895521"/>
    <w:rsid w:val="008B2686"/>
    <w:rsid w:val="008C6733"/>
    <w:rsid w:val="008D0260"/>
    <w:rsid w:val="008E03A0"/>
    <w:rsid w:val="008F3358"/>
    <w:rsid w:val="00943484"/>
    <w:rsid w:val="00946C54"/>
    <w:rsid w:val="00974A7F"/>
    <w:rsid w:val="009842A4"/>
    <w:rsid w:val="009949B2"/>
    <w:rsid w:val="009A22D6"/>
    <w:rsid w:val="009C1EA9"/>
    <w:rsid w:val="009C26D9"/>
    <w:rsid w:val="009D29B0"/>
    <w:rsid w:val="009E1B10"/>
    <w:rsid w:val="00A4358C"/>
    <w:rsid w:val="00A75F5E"/>
    <w:rsid w:val="00AA3084"/>
    <w:rsid w:val="00AF58FA"/>
    <w:rsid w:val="00B128D1"/>
    <w:rsid w:val="00B37C01"/>
    <w:rsid w:val="00B53DE0"/>
    <w:rsid w:val="00B563BF"/>
    <w:rsid w:val="00B63AA9"/>
    <w:rsid w:val="00BB66DF"/>
    <w:rsid w:val="00BB77E5"/>
    <w:rsid w:val="00BE341D"/>
    <w:rsid w:val="00BF37E4"/>
    <w:rsid w:val="00C06F9E"/>
    <w:rsid w:val="00C24D51"/>
    <w:rsid w:val="00C26DD2"/>
    <w:rsid w:val="00C30BDD"/>
    <w:rsid w:val="00C3498F"/>
    <w:rsid w:val="00C529BB"/>
    <w:rsid w:val="00C626D3"/>
    <w:rsid w:val="00C76272"/>
    <w:rsid w:val="00CA25C3"/>
    <w:rsid w:val="00CD2350"/>
    <w:rsid w:val="00CE38F5"/>
    <w:rsid w:val="00CF0747"/>
    <w:rsid w:val="00CF4408"/>
    <w:rsid w:val="00D02348"/>
    <w:rsid w:val="00D34A33"/>
    <w:rsid w:val="00D50791"/>
    <w:rsid w:val="00D522D7"/>
    <w:rsid w:val="00D55553"/>
    <w:rsid w:val="00D610FB"/>
    <w:rsid w:val="00D6365C"/>
    <w:rsid w:val="00D72044"/>
    <w:rsid w:val="00D76C6C"/>
    <w:rsid w:val="00D904CB"/>
    <w:rsid w:val="00E352A6"/>
    <w:rsid w:val="00E57BF7"/>
    <w:rsid w:val="00E679DA"/>
    <w:rsid w:val="00E95652"/>
    <w:rsid w:val="00EE2605"/>
    <w:rsid w:val="00F02210"/>
    <w:rsid w:val="00F03066"/>
    <w:rsid w:val="00F32CF0"/>
    <w:rsid w:val="00F41F2D"/>
    <w:rsid w:val="00F70166"/>
    <w:rsid w:val="00F75E07"/>
    <w:rsid w:val="00F84A42"/>
    <w:rsid w:val="00FC0A4B"/>
    <w:rsid w:val="00FD4C2D"/>
    <w:rsid w:val="00FE1CFD"/>
    <w:rsid w:val="00FF3F77"/>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312494100">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896236396">
      <w:bodyDiv w:val="1"/>
      <w:marLeft w:val="0"/>
      <w:marRight w:val="0"/>
      <w:marTop w:val="0"/>
      <w:marBottom w:val="0"/>
      <w:divBdr>
        <w:top w:val="none" w:sz="0" w:space="0" w:color="auto"/>
        <w:left w:val="none" w:sz="0" w:space="0" w:color="auto"/>
        <w:bottom w:val="none" w:sz="0" w:space="0" w:color="auto"/>
        <w:right w:val="none" w:sz="0" w:space="0" w:color="auto"/>
      </w:divBdr>
    </w:div>
    <w:div w:id="928731219">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198349256">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D7A81-CC53-4278-B375-1EE643B8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8</cp:revision>
  <dcterms:created xsi:type="dcterms:W3CDTF">2012-11-21T06:20:00Z</dcterms:created>
  <dcterms:modified xsi:type="dcterms:W3CDTF">2012-12-07T09:55:00Z</dcterms:modified>
</cp:coreProperties>
</file>